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28.10 BinSchStrO 2012 — Stillliegen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An der Liegestelle Heining (km 2232,36 bis km 2231,62) gelten folgende besonderen Regeln zum Stillliegen:</w:t>
      </w:r>
    </w:p>
    <w:p>
      <w:pPr>
        <w:ind w:left="420"/>
      </w:pPr>
      <w:r>
        <w:t xml:space="preserve">1. Ein Fahrzeug, das bestimmte entzündbare Güter nach der Gefahrgutverordnung Straße, Eisenbahn und Binnenschifffahrt in der Fassung der Bekanntmachung vom 18. August 2023 (BGBl. 2023 I Nr. 227), in der jeweils geltenden Fassung in Verbindung mit Abschnitt 7.1.5 oder 7.2.5 ADN befördert und die Bezeichnung nach § 3.14 Nummer 1 führen muss, darf nur stillliegen, wenn es auf Schleusung wartet.</w:t>
      </w:r>
    </w:p>
    <w:p>
      <w:pPr>
        <w:ind w:left="420"/>
      </w:pPr>
      <w:r>
        <w:t xml:space="preserve">2. Ein Fahrzeug ohne Maschinenantrieb muss auch dann an Land festgemacht sein, wenn es ankert. Satz 1 gilt nicht für ein Fahrzeug, das zu einem Verband gehört.</w:t>
      </w:r>
    </w:p>
    <w:p>
      <w:pPr>
        <w:ind w:left="420"/>
      </w:pPr>
      <w:r>
        <w:t xml:space="preserve">3. Ein Fahrzeug muss vom Ufer einen Abstand von mindestens 10,00 m halten.</w:t>
      </w:r>
    </w:p>
    <w:p>
      <w:pPr>
        <w:ind w:left="420"/>
      </w:pPr>
      <w:r>
        <w:t xml:space="preserve">4. Ein Kleinfahrzeug darf nicht stillliegen.</w:t>
      </w:r>
    </w:p>
    <w:p>
      <w:r>
        <w:rPr>
          <w:color w:val="555555"/>
          <w:sz w:val="17"/>
        </w:rPr>
        <w:t xml:space="preserve">Zitiervorschlag: § 28.10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