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28.03 BinSchStrO 2012 — Zusammenstellung der Verbände</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Ein Schleppverband darf auf den nachfolgend genannten Streckenabschnitten folgende Abmessungen und Gruppierungen nicht überschreiten:</w:t>
      </w:r>
    </w:p>
    <w:p>
      <w:r>
        <w:rPr>
          <w:rFonts w:ascii="Courier New" w:hAnsi="Courier New"/>
          <w:sz w:val="17"/>
        </w:rPr>
        <w:t xml:space="preserve">Streckenabschnitt    Anzahl der am schleppenden Fahrzeug längsseits gekuppelten Fahrzeuge    Anzahl der im Anhang geschleppten Reihen von Fahrzeugen    Breite m</w:t>
      </w:r>
    </w:p>
    <w:p>
      <w:r>
        <w:rPr>
          <w:rFonts w:ascii="Courier New" w:hAnsi="Courier New"/>
          <w:sz w:val="17"/>
        </w:rPr>
        <w:t xml:space="preserve">1.1    Bergfahrt            </w:t>
      </w:r>
    </w:p>
    <w:p>
      <w:r>
        <w:rPr>
          <w:rFonts w:ascii="Courier New" w:hAnsi="Courier New"/>
          <w:sz w:val="17"/>
        </w:rPr>
        <w:t xml:space="preserve">1.1.1    km 2223,30 (Eisenbahnbrücke Kräutelstein) bis km 2249,85 (Liegestelle Vilshofen)    1    4    22,90</w:t>
      </w:r>
    </w:p>
    <w:p>
      <w:r>
        <w:rPr>
          <w:rFonts w:ascii="Courier New" w:hAnsi="Courier New"/>
          <w:sz w:val="17"/>
        </w:rPr>
        <w:t xml:space="preserve">1.1.2    km 2249,85 (Liegestelle Vilshofen) bis km 2355,00 (Oberwasser Schleuse Geisling)    – 1 –    5 1 2    11,45 22,90 22,90</w:t>
      </w:r>
    </w:p>
    <w:p>
      <w:r>
        <w:rPr>
          <w:rFonts w:ascii="Courier New" w:hAnsi="Courier New"/>
          <w:sz w:val="17"/>
        </w:rPr>
        <w:t xml:space="preserve">1.1.3    km 2355,00 (Oberwasser Schleuse Geisling) bis km 2376,80 (Regensburg Eisenbahnbrücke Schwabelweis)    1    4    22,90</w:t>
      </w:r>
    </w:p>
    <w:p>
      <w:r>
        <w:rPr>
          <w:rFonts w:ascii="Courier New" w:hAnsi="Courier New"/>
          <w:sz w:val="17"/>
        </w:rPr>
        <w:t xml:space="preserve">1.1.4    km 2376,80 (Regensburg Eisenbahnbrücke Schwabelweis) bis km 2411,60 (Einmündung des Main-Donau-Kanals)    1    2    11,45</w:t>
      </w:r>
    </w:p>
    <w:p>
      <w:r>
        <w:rPr>
          <w:rFonts w:ascii="Courier New" w:hAnsi="Courier New"/>
          <w:sz w:val="17"/>
        </w:rPr>
        <w:t xml:space="preserve">1.1.5    km 2411,60 (Einmündung des Main-Donau-Kanals) bis km 2414,72 (Kelheim)    –    1    11,45</w:t>
      </w:r>
    </w:p>
    <w:p>
      <w:r>
        <w:rPr>
          <w:rFonts w:ascii="Courier New" w:hAnsi="Courier New"/>
          <w:sz w:val="17"/>
        </w:rPr>
        <w:t xml:space="preserve">1.2    Talfahrt            </w:t>
      </w:r>
    </w:p>
    <w:p>
      <w:r>
        <w:rPr>
          <w:rFonts w:ascii="Courier New" w:hAnsi="Courier New"/>
          <w:sz w:val="17"/>
        </w:rPr>
        <w:t xml:space="preserve">1.2.1    km 2414,72 (Kelheim) bis km 2376,80 (Regensburg Eisenbahnbrücke Schwabelweis)    –    1    11,45</w:t>
      </w:r>
    </w:p>
    <w:p>
      <w:r>
        <w:rPr>
          <w:rFonts w:ascii="Courier New" w:hAnsi="Courier New"/>
          <w:sz w:val="17"/>
        </w:rPr>
        <w:t xml:space="preserve">1.2.2    km 2376,80 (Regensburg Eisenbahnbrücke Schwabelweis) bis km 2321,45 (Unterwasser Schleuse Straubing)    1 1    1 2    30,00 22,90</w:t>
      </w:r>
    </w:p>
    <w:p>
      <w:r>
        <w:rPr>
          <w:rFonts w:ascii="Courier New" w:hAnsi="Courier New"/>
          <w:sz w:val="17"/>
        </w:rPr>
        <w:t xml:space="preserve">1.2.3    km 2321,45 (Unterwasser Schleuse Straubing) bis km 2223,30 (Eisenbahnbrücke Kräutelstein)    1    1    30,00</w:t>
      </w:r>
    </w:p>
    <w:p>
      <w:r>
        <w:rPr>
          <w:rFonts w:ascii="Courier New" w:hAnsi="Courier New"/>
          <w:sz w:val="17"/>
        </w:rPr>
        <w:t xml:space="preserve">1.2.4    km 2249,85 (Liegestelle Vilshofen) bis km 2230,30 (Unterwasser Schleuse Kachlet)    1    2    22,90</w:t>
      </w:r>
    </w:p>
    <w:p>
      <w:pPr>
        <w:ind w:left="420"/>
      </w:pPr>
      <w:r>
        <w:t xml:space="preserve">Die zuständige Behörde kann Ausnahmen von den Abmessungen und Gruppierungen nach Satz 1 zulassen, sofern die Sicherheit und Leichtigkeit des Schiffsverkehrs dadurch nicht gefährdet werden.</w:t>
      </w:r>
    </w:p>
    <w:p>
      <w:pPr>
        <w:ind w:left="420"/>
      </w:pPr>
      <w:r>
        <w:t xml:space="preserve">2. Ein Fahrzeug mit Maschinenantrieb, das ein anderes Fahrzeug schleppt, schiebt oder gekuppelt mitführt, darf dieses beim Festmachen oder Ankern nicht verlassen, ehe das Fahrwasser freigemacht ist und sich der Führer des Verbandes vergewissert hat, dass es sich in Sicherheit befindet.</w:t>
      </w:r>
    </w:p>
    <w:p>
      <w:r>
        <w:rPr>
          <w:color w:val="555555"/>
          <w:sz w:val="17"/>
        </w:rPr>
        <w:t xml:space="preserve">Zitiervorschlag: § 28.03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https://recht.nulegal.eu/gesetze/BinSchStrO%202012/28.03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