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27.01 BinSchStrO 2012 — Anwendungsbereich</w:t>
      </w:r>
    </w:p>
    <w:p>
      <w:r>
        <w:rPr>
          <w:color w:val="555555"/>
          <w:sz w:val="18"/>
        </w:rPr>
        <w:t xml:space="preserve">Binnenschifffahrtsstraßen-Ordnung</w:t>
      </w:r>
    </w:p>
    <w:p>
      <w:r>
        <w:rPr>
          <w:color w:val="555555"/>
          <w:sz w:val="18"/>
        </w:rPr>
        <w:t xml:space="preserve">Stand: 10.06.2019 (konsolidierte Textfassung, kein amtliches Inkrafttretensdatum)</w:t>
      </w:r>
    </w:p>
    <w:p>
      <w:r>
        <w:t xml:space="preserve">Die Vorschriften dieses Kapitels gelten auf der Peene von der Einmündung des Malchiner Peenekanals in die Westpeene (km 2,50) bis zur Einmündung des Richtgrabens in den Peenestrom an der Verbindungslinie zwischen dem Oberfeuer Jahnkenort und dem Unterfeuer Pinnow (km 98,16) einschließlich Kummerower See.</w:t>
      </w:r>
    </w:p>
    <w:p>
      <w:r>
        <w:rPr>
          <w:color w:val="555555"/>
          <w:sz w:val="17"/>
        </w:rPr>
        <w:t xml:space="preserve">Zitiervorschlag: § 27.01 BinSchStrO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https://recht.nulegal.eu/gesetze/BinSchStrO%202012/27.01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