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26.25 BinSchStrO 2012 — Befahren der Altwässer, Kanäle und einzelner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26.25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https://recht.nulegal.eu/gesetze/BinSchStrO%202012/26.25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26.25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