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mit Maschinenantrieb, ausgenommen ein Kleinfahrzeug, muss mit in gutem Betriebszustand befindlichen Sprechfunkanlagen nach § 4.05 ausgerüstet sein.</w:t>
      </w:r>
    </w:p>
    <w:p>
      <w:pPr>
        <w:ind w:left="420"/>
      </w:pPr>
      <w:r>
        <w:t xml:space="preserve">2. Der Funkverkehr für den Verkehrskreis Schiff-Schiff hat auf Kanal 10 zu erfolgen.</w:t>
      </w:r>
    </w:p>
    <w:p>
      <w:r>
        <w:rPr>
          <w:color w:val="555555"/>
          <w:sz w:val="17"/>
        </w:rPr>
        <w:t xml:space="preserve">Zitiervorschlag: § 26.23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https://recht.nulegal.eu/gesetze/BinSchStrO%202012/26.23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26.23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