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Abweichend von § 4.05 Nummer 2 darf ein Fahrgastschiff auf der Saale von km 88,00 bis Bad Dürrenberg (km 124,16) auch fahren, wenn es nur mit einer betriebssicheren Sprechfunkanlage ausgerüstet ist.</w:t>
      </w:r>
    </w:p>
    <w:p>
      <w:pPr>
        <w:ind w:left="420"/>
      </w:pPr>
      <w:r>
        <w:t xml:space="preserve">2. Während der Fahrt muss die Sprechfunkanlage nach Nummer 1 im Verkehrskreis Schiff-Schiff ständig sende- und empfangsbereit sein. Dieser Verkehrskreis darf nur zur Übermittlung oder zum Empfang von Nachrichten auf anderen Kanälen kurzfristig verlassen werden.</w:t>
      </w:r>
    </w:p>
    <w:p>
      <w:pPr>
        <w:ind w:left="420"/>
      </w:pPr>
      <w:r>
        <w:t xml:space="preserve">3. § 4.05 Nummer 3 gilt auch für eine Seilfähre.</w:t>
      </w:r>
    </w:p>
    <w:p>
      <w:r>
        <w:rPr>
          <w:color w:val="555555"/>
          <w:sz w:val="17"/>
        </w:rPr>
        <w:t xml:space="preserve">Zitiervorschlag: § 25.23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25.23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