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25.18 BinSchStrO 2012 — Durchfahren der Brücken, Sperrwerke, Wehre, Schleusen und einzelner Stromstrecken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Bei der Fahrt zu Tal müssen bei einem Wasserstand von mehr als</w:t>
      </w:r>
    </w:p>
    <w:p>
      <w:pPr>
        <w:ind w:left="780"/>
      </w:pPr>
      <w:r>
        <w:t xml:space="preserve">a) 270 cm und nicht mehr als 300 cm am Unterpegel Bernburg ein unbeladenes Fahrzeug mit Maschinenantrieb, ein unbeladener Schubverband oder ein Fahrgastschiff,</w:t>
      </w:r>
    </w:p>
    <w:p>
      <w:pPr>
        <w:ind w:left="780"/>
      </w:pPr>
      <w:r>
        <w:t xml:space="preserve">b) 300 cm am Unterpegel Bernburg ein beladenes Fahrzeug mit Maschinenantrieb oder ein beladener Schubverband</w:t>
      </w:r>
    </w:p>
    <w:p>
      <w:pPr>
        <w:ind w:left="420"/>
      </w:pPr>
      <w:r>
        <w:t xml:space="preserve">mit Landleinenführung in die Schleuse Bernburg gefahren werden.</w:t>
      </w:r>
    </w:p>
    <w:p>
      <w:pPr>
        <w:ind w:left="420"/>
      </w:pPr>
      <w:r>
        <w:t xml:space="preserve">2. Nummer 1 gilt nicht für ein Fahrzeug oder einen Schubverband, das oder der mit einer aktiven Bugsteuereinrichtung ausgerüstet ist.</w:t>
      </w:r>
    </w:p>
    <w:p>
      <w:r>
        <w:rPr>
          <w:color w:val="555555"/>
          <w:sz w:val="17"/>
        </w:rPr>
        <w:t xml:space="preserve">Zitiervorschlag: § 25.18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https://recht.nulegal.eu/gesetze/BinSchStrO%202012/25.18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