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25.06 BinSchStrO 2012 — Begegnen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Fahrzeug oder ein Verband mit jeweils einer Länge von mehr als 67,00 m darf</w:t>
      </w:r>
    </w:p>
    <w:p>
      <w:pPr>
        <w:ind w:left="420"/>
      </w:pPr>
      <w:r>
        <w:t xml:space="preserve">1. die Strecke von km 20,00 bis km 0,00 nur befahren, wenn durch die Schleusenaufsicht in Calbe die Fahrt hierfür freigegeben wurde,</w:t>
      </w:r>
    </w:p>
    <w:p>
      <w:pPr>
        <w:ind w:left="420"/>
      </w:pPr>
      <w:r>
        <w:t xml:space="preserve">2. die Strecke von km 0,50 bis km 20,00 nur mit Erlaubnis der Schleusenaufsicht in Calbe befahren.</w:t>
      </w:r>
    </w:p>
    <w:p>
      <w:r>
        <w:rPr>
          <w:color w:val="555555"/>
          <w:sz w:val="17"/>
        </w:rPr>
        <w:t xml:space="preserve">Zitiervorschlag: § 25.06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https://recht.nulegal.eu/gesetze/BinSchStrO%202012/25.06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