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25.03 BinSchStrO 2012 — Zusammenstellung der Verbände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pPr>
        <w:ind w:left="420"/>
      </w:pPr>
      <w:r>
        <w:t xml:space="preserve">1. Fahrzeuge, ausgenommen Kleinfahrzeuge, dürfen nur zum Abschleppen eines beschädigten Fahrzeugs, zu einem kurzen Verholen oder mit Erlaubnis der zuständigen Behörde gekuppelt fahren.</w:t>
      </w:r>
    </w:p>
    <w:p>
      <w:pPr>
        <w:ind w:left="420"/>
      </w:pPr>
      <w:r>
        <w:t xml:space="preserve">2. In einen Schleppverband dürfen höchstens zwei Anhänge eingestellt werden. Dies gilt nicht für das Schleppen von Kleinfahrzeugen.</w:t>
      </w:r>
    </w:p>
    <w:p>
      <w:pPr>
        <w:ind w:left="420"/>
      </w:pPr>
      <w:r>
        <w:t xml:space="preserve">3. Die zuständige Behörde kann abweichend von Nummer 2 Satz 1 Ausnahmen zulassen.</w:t>
      </w:r>
    </w:p>
    <w:p>
      <w:r>
        <w:rPr>
          <w:color w:val="555555"/>
          <w:sz w:val="17"/>
        </w:rPr>
        <w:t xml:space="preserve">Zitiervorschlag: § 25.03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https://recht.nulegal.eu/gesetze/BinSchStrO%202012/25.03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