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24.23 BinSchStrO 2012 — Regelungen zum Sprechfunk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Abweichend von § 4.05 Nummer 2 darf ein Fahrgastschiff auf</w:t>
      </w:r>
    </w:p>
    <w:p>
      <w:pPr>
        <w:ind w:left="780"/>
      </w:pPr>
      <w:r>
        <w:t xml:space="preserve">a) der Oberen Havel-Wasserstraße von km 22,00 bis km 94,40 (Neustrelitz),</w:t>
      </w:r>
    </w:p>
    <w:p>
      <w:pPr>
        <w:ind w:left="780"/>
      </w:pPr>
      <w:r>
        <w:t xml:space="preserve">b) den Wentower Gewässern,</w:t>
      </w:r>
    </w:p>
    <w:p>
      <w:pPr>
        <w:ind w:left="780"/>
      </w:pPr>
      <w:r>
        <w:t xml:space="preserve">c) den Templiner Gewässern,</w:t>
      </w:r>
    </w:p>
    <w:p>
      <w:pPr>
        <w:ind w:left="780"/>
      </w:pPr>
      <w:r>
        <w:t xml:space="preserve">d) den Lychener Gewässern,</w:t>
      </w:r>
    </w:p>
    <w:p>
      <w:pPr>
        <w:ind w:left="780"/>
      </w:pPr>
      <w:r>
        <w:t xml:space="preserve">e) der Quassower Havel,</w:t>
      </w:r>
    </w:p>
    <w:p>
      <w:pPr>
        <w:ind w:left="780"/>
      </w:pPr>
      <w:r>
        <w:t xml:space="preserve">f) der Müritz-Havel-Wasserstraße,</w:t>
      </w:r>
    </w:p>
    <w:p>
      <w:pPr>
        <w:ind w:left="780"/>
      </w:pPr>
      <w:r>
        <w:t xml:space="preserve">g) den Rheinsberger Gewässern,</w:t>
      </w:r>
    </w:p>
    <w:p>
      <w:pPr>
        <w:ind w:left="780"/>
      </w:pPr>
      <w:r>
        <w:t xml:space="preserve">h) den Zechliner Gewässern,</w:t>
      </w:r>
    </w:p>
    <w:p>
      <w:pPr>
        <w:ind w:left="780"/>
      </w:pPr>
      <w:r>
        <w:t xml:space="preserve">i) der Müritz-Elde-Wasserstraße und</w:t>
      </w:r>
    </w:p>
    <w:p>
      <w:pPr>
        <w:ind w:left="780"/>
      </w:pPr>
      <w:r>
        <w:t xml:space="preserve">j) der Stör-Wasserstraße</w:t>
      </w:r>
    </w:p>
    <w:p>
      <w:pPr>
        <w:ind w:left="420"/>
      </w:pPr>
      <w:r>
        <w:t xml:space="preserve">auch fahren, wenn es nur mit einer betriebssicheren Sprechfunkanlage ausgerüstet ist.</w:t>
      </w:r>
    </w:p>
    <w:p>
      <w:pPr>
        <w:ind w:left="420"/>
      </w:pPr>
      <w:r>
        <w:t xml:space="preserve">2. Während der Fahrt muss die Sprechfunkanlage nach Nummer 1 im Verkehrskreis Schiff-Schiff ständig sende- und empfangsbereit sein. Dieser Verkehrskreis darf nur zur Übermittlung oder zum Empfang von Nachrichten auf anderen Kanälen kurzfristig verlassen werden.</w:t>
      </w:r>
    </w:p>
    <w:p>
      <w:r>
        <w:rPr>
          <w:color w:val="555555"/>
          <w:sz w:val="17"/>
        </w:rPr>
        <w:t xml:space="preserve">Zitiervorschlag: § 24.23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https://recht.nulegal.eu/gesetze/BinSchStrO%202012/24.23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