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Auf einem See oder einer seeartigen Erweiterung ist § 7.01 Nummer 1 Satz 1 unter der Voraussetzung, dass die durchgehende Schifffahrt nicht behindert wird, nicht anzuwenden.</w:t>
      </w:r>
    </w:p>
    <w:p>
      <w:pPr>
        <w:ind w:left="420"/>
      </w:pPr>
      <w:r>
        <w:t xml:space="preserve">2. Auf Abschnitten der Müritz-Elde-Wasserstraße und der Stör-Wasserstraße mit einer Wasserspiegelbreite unter 40,00 m ist das Stillliegen verboten.</w:t>
      </w:r>
    </w:p>
    <w:p>
      <w:r>
        <w:rPr>
          <w:color w:val="555555"/>
          <w:sz w:val="17"/>
        </w:rPr>
        <w:t xml:space="preserve">Zitiervorschlag: § 24.10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