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23.24 BinSchStrO 2012 — Sonderbestimmungen für Kleinfahrzeuge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pPr>
        <w:ind w:left="420"/>
      </w:pPr>
      <w:r>
        <w:t xml:space="preserve">1. Ein Kleinfahrzeug muss auf einem Kanal, in einem engen Fahrwasser und auf einem unübersichtlichen Gewässerabschnitt grundsätzlich rechts fahren.</w:t>
      </w:r>
    </w:p>
    <w:p>
      <w:pPr>
        <w:ind w:left="420"/>
      </w:pPr>
      <w:r>
        <w:t xml:space="preserve">2. Ein schleppendes Kleinfahrzeug darf höchstens neun Kleinfahrzeuge im Anhang führen. Es dürfen höchsten drei Kleinfahrzeuge gekuppelt fahren.</w:t>
      </w:r>
    </w:p>
    <w:p>
      <w:pPr>
        <w:ind w:left="420"/>
      </w:pPr>
      <w:r>
        <w:t xml:space="preserve">3. Abweichend von § 3.20 braucht ein Kleinfahrzeug bei Nacht kein weißes Licht zu führen, wenn es an genehmigten Liegestellen stillliegt.</w:t>
      </w:r>
    </w:p>
    <w:p>
      <w:pPr>
        <w:ind w:left="420"/>
      </w:pPr>
      <w:r>
        <w:t xml:space="preserve">4. Ein unbemanntes Kleinfahrzeug darf nur an einer genehmigten Liegestelle stillliegen.</w:t>
      </w:r>
    </w:p>
    <w:p>
      <w:r>
        <w:rPr>
          <w:color w:val="555555"/>
          <w:sz w:val="17"/>
        </w:rPr>
        <w:t xml:space="preserve">Zitiervorschlag: § 23.24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https://recht.nulegal.eu/gesetze/BinSchStrO%202012/23.24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