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23.23 BinSchStrO 2012 — Regelungen zum Sprechfunk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Abweichend von § 4.05 Nummer 2 darf ein Fahrgastschiff auf</w:t>
      </w:r>
    </w:p>
    <w:p>
      <w:pPr>
        <w:ind w:left="780"/>
      </w:pPr>
      <w:r>
        <w:t xml:space="preserve">a) dem Oranienburger Kanal,</w:t>
      </w:r>
    </w:p>
    <w:p>
      <w:pPr>
        <w:ind w:left="780"/>
      </w:pPr>
      <w:r>
        <w:t xml:space="preserve">b) dem Finowkanal und</w:t>
      </w:r>
    </w:p>
    <w:p>
      <w:pPr>
        <w:ind w:left="780"/>
      </w:pPr>
      <w:r>
        <w:t xml:space="preserve">c) den Werbelliner Gewässern</w:t>
      </w:r>
    </w:p>
    <w:p>
      <w:pPr>
        <w:ind w:left="420"/>
      </w:pPr>
      <w:r>
        <w:t xml:space="preserve">auch fahren, wenn es nur mit einer betriebssicheren Sprechfunkanlage ausgerüstet ist.</w:t>
      </w:r>
    </w:p>
    <w:p>
      <w:pPr>
        <w:ind w:left="420"/>
      </w:pPr>
      <w:r>
        <w:t xml:space="preserve">2. Während der Fahrt muss die Sprechfunkanlage nach Nummer 1 im Verkehrskreis Schiff-Schiff ständig sende- und empfangsbereit sein. Dieser Verkehrskreis darf nur zur Übermittlung oder zum Empfang von Nachrichten auf anderen Kanälen kurzfristig verlassen werden.</w:t>
      </w:r>
    </w:p>
    <w:p>
      <w:r>
        <w:rPr>
          <w:color w:val="555555"/>
          <w:sz w:val="17"/>
        </w:rPr>
        <w:t xml:space="preserve">Zitiervorschlag: § 23.23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