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23.07 BinSchStrO 2012 — Überholen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Das Überholen ist verboten.</w:t>
      </w:r>
    </w:p>
    <w:p>
      <w:pPr>
        <w:ind w:left="420"/>
      </w:pPr>
      <w:r>
        <w:t xml:space="preserve">2. Abweichend von Nummer 1 ist das Überholen</w:t>
      </w:r>
    </w:p>
    <w:p>
      <w:pPr>
        <w:ind w:left="780"/>
      </w:pPr>
      <w:r>
        <w:t xml:space="preserve">a) einem Fahrzeug oder einem Verband gestattet, wenn jeweils dessen Abladetiefe 1,30 m und dessen Länge 82,00 m oder dessen Breite 8,25 m nicht überschreiten,</w:t>
      </w:r>
    </w:p>
    <w:p>
      <w:pPr>
        <w:ind w:left="780"/>
      </w:pPr>
      <w:r>
        <w:t xml:space="preserve">b) einem Fahrzeug gestattet, wenn dessen Länge 43,00 m oder dessen Breite 8,25 m nicht überschreitet,</w:t>
      </w:r>
    </w:p>
    <w:p>
      <w:pPr>
        <w:ind w:left="780"/>
      </w:pPr>
      <w:r>
        <w:t xml:space="preserve">c) einem Fahrzeug oder einem Verband auf einem See oder einer seeartigen Erweiterung mit jeweils einer Gewässerbreite von mehr als 250,00 m gestattet.</w:t>
      </w:r>
    </w:p>
    <w:p>
      <w:pPr>
        <w:ind w:left="420"/>
      </w:pPr>
      <w:r>
        <w:t xml:space="preserve">3. Ein Kleinfahrzeug darf abweichend von Nummer 1 überholen und überholt werden.</w:t>
      </w:r>
    </w:p>
    <w:p>
      <w:r>
        <w:rPr>
          <w:color w:val="555555"/>
          <w:sz w:val="17"/>
        </w:rPr>
        <w:t xml:space="preserve">Zitiervorschlag: § 23.07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