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23.01 BinSchStrO 2012 — Anwendungsbereich</w:t>
      </w:r>
    </w:p>
    <w:p>
      <w:r>
        <w:rPr>
          <w:color w:val="555555"/>
          <w:sz w:val="18"/>
        </w:rPr>
        <w:t xml:space="preserve">Binnenschifffahrtsstraßen-Ordnung</w:t>
      </w:r>
    </w:p>
    <w:p>
      <w:r>
        <w:rPr>
          <w:color w:val="555555"/>
          <w:sz w:val="18"/>
        </w:rPr>
        <w:t xml:space="preserve">Stand: 10.06.2019 (konsolidierte Textfassung, kein amtliches Inkrafttretensdatum)</w:t>
      </w:r>
    </w:p>
    <w:p>
      <w:r>
        <w:t xml:space="preserve">Die Vorschriften dieses Kapitels gelten auf der Havel-Oder-Wasserstraße (HOW) von der Spreemündung bei Spandau (HOW-km 0,00/SOW-km 0,15) bis zur Einmündung in die Westoder (HOW-km 134,96/WOd-km 2,75) einschließlich Spandauer Havel (Spandauer See, Nieder Neuendorfer See), Oder-Havel-Kanal (Lehnitzsee), Oderberger Gewässer (Lieper See, Oderberger See, Alte Oder) und Hohensaaten-Friedrichsthaler Wasserstraße mit Tegeler See, Veltener Stichkanal, Oranienburger Kanal, Friedrichsthaler Havel, Malzer Kanal (bei Malz), Oranienburger Havel (von km 3,91 bis zur HOW) nebst Großer Wehrarm Sachsenhausen, Finowkanal (FiK) nebst Mäckerseekanal (Mäckersee), Werbelliner Gewässer von km 2,73 (Werbellinsee, Werbellinkanal, nördlicher Oder-Havel-Kanal und Pechteichsee), Wriezener Alte Oder bis Bralitz (km 2,53), Verbindungskanal Hohensaaten Ost (zur Oder), Verbindungskanal Schwedter Querfahrt (zur Oder).</w:t>
      </w:r>
    </w:p>
    <w:p>
      <w:r>
        <w:rPr>
          <w:color w:val="555555"/>
          <w:sz w:val="17"/>
        </w:rPr>
        <w:t xml:space="preserve">Zitiervorschlag: § 23.01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https://recht.nulegal.eu/gesetze/BinSchStrO%202012/23.01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