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22.27 BinSchStrO 2012 — Verkehrsbeschränkungen der Schifffahrt</w:t>
      </w:r>
    </w:p>
    <w:p>
      <w:r>
        <w:rPr>
          <w:color w:val="555555"/>
          <w:sz w:val="18"/>
        </w:rPr>
        <w:t xml:space="preserve">Binnenschifffahrtsstraßen-Ordnung</w:t>
      </w:r>
    </w:p>
    <w:p>
      <w:r>
        <w:rPr>
          <w:color w:val="555555"/>
          <w:sz w:val="18"/>
        </w:rPr>
        <w:t xml:space="preserve">Stand: 16.11.2019 (konsolidierte Textfassung, kein amtliches Inkrafttretensdatum)</w:t>
      </w:r>
    </w:p>
    <w:p>
      <w:pPr>
        <w:ind w:left="420"/>
      </w:pPr>
      <w:r>
        <w:t xml:space="preserve">1. Das Befahren der Unteren Havel-Wasserstraße zwischen km 104,20 und km 145,06 und der Hohennauener Wasserstraße ist verboten.</w:t>
      </w:r>
    </w:p>
    <w:p>
      <w:pPr>
        <w:ind w:left="420"/>
      </w:pPr>
      <w:r>
        <w:t xml:space="preserve">2. Das Befahren der Scharfen Lanke, der Sacrower Lanke, des Petziensees, des Glindowsees (Potsdamer Havel), der Wublitz (Schlänitzsee) bis km 8,65, der Nedlitzer Alten Fahrt nebst Lehnitzsee und Krampnitzsee, der Beetzsee-Riewendsee-Wasserstraße vom Päwesiner Streng (km 17,80) bis zur Einmündung des Klinkgrabens (km 21,80) und des Breitlingsees und Möserschen Sees von km 6,80 bis km 9,13 ist verboten. Satz 1 gilt nicht für ein Kleinfahrzeug.</w:t>
      </w:r>
    </w:p>
    <w:p>
      <w:pPr>
        <w:ind w:left="420"/>
      </w:pPr>
      <w:r>
        <w:t xml:space="preserve">3. Auf folgenden Seen und seeartigen Erweiterungen: Scharfe Lanke und Sacrower Lanke (Kladower Seestrecke), Petziensee und Glindowsee (Potsdamer Havel) sowie Lehnitzsee und Krampnitzsee (Nedlitzer Alte Fahrt) darf ein Kleinfahrzeug, das ein Sportfahrzeug ist, mit in Betrieb gesetztem Verbrennungsmotor während der Zeit von 22:00 Uhr bis 05:00 Uhr nicht fahren. Ein derartiges Kleinfahrzeug, das seinen ständigen Liegeplatz am rechten Ufer der Seen hat, darf diesen auf kürzestem Weg aufsuchen.</w:t>
      </w:r>
    </w:p>
    <w:p>
      <w:pPr>
        <w:ind w:left="420"/>
      </w:pPr>
      <w:r>
        <w:t xml:space="preserve">4. Abweichend von Nummer 2 Satz 1 ist einem Fahrgastschiff mit einer Länge von nicht mehr als 55,00 m und einer Breite von nicht mehr als 8,00 m das Befahren des Glindowsees (Potsdamer Havel), des Lehnitzsees, des Krampnitzsees und derBeetzsee-Riewendsee-Wasserstraße vom Päwesiner Streng (km 17,80) bis zur Einmündung des Klinkgrabens (km 21,80) gestattet.</w:t>
      </w:r>
    </w:p>
    <w:p>
      <w:pPr>
        <w:ind w:left="420"/>
      </w:pPr>
      <w:r>
        <w:t xml:space="preserve">5. Das Befahren der Wublitz (Potsdamer Havel) ist nur Kleinfahrzeugen ohne Verbrennungsmotor gestattet.</w:t>
      </w:r>
    </w:p>
    <w:p>
      <w:pPr>
        <w:ind w:left="420"/>
      </w:pPr>
      <w:r>
        <w:t xml:space="preserve">6. Die Fahrt durch den Havelnebenarm südlich der Pfaueninsel (Kladower Seestrecke) ist nur einem Fahrgastschiff, einer Fähre oder einem Kleinfahrzeug gestattet.</w:t>
      </w:r>
    </w:p>
    <w:p>
      <w:pPr>
        <w:ind w:left="420"/>
      </w:pPr>
      <w:r>
        <w:t xml:space="preserve">7. Ein Fahrzeug oder Verband mit jeweils einer Breite von mehr als 8,25 m darf die Hauptschleuse Rathenow der Unteren Havel-Wasserstraße mit einer Abladetiefe durchfahren, die gleich oder kleiner als der Wasserstand am Unterpegel Rathenow + 85 cm ist.</w:t>
      </w:r>
    </w:p>
    <w:p>
      <w:pPr>
        <w:ind w:left="420"/>
      </w:pPr>
      <w:r>
        <w:t xml:space="preserve">8. Die zuständige Behörde kann im Einzelfall von den Verboten und Einschränkungen nach Nummer 2 Satz 1, Nummer 3 und 5 bis 7 befreien. Der Bescheid über die Befreiung von einem Fahrverbot oder einer Einschränkung ist an Bord mitzuführen und auf Verlangen den zur Kontrolle befugten Personen auszuhändigen.</w:t>
      </w:r>
    </w:p>
    <w:p>
      <w:r>
        <w:rPr>
          <w:color w:val="555555"/>
          <w:sz w:val="17"/>
        </w:rPr>
        <w:t xml:space="preserve">Zitiervorschlag: § 22.27 BinSchStrO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https://recht.nulegal.eu/gesetze/BinSchStrO%202012/22.27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