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Kleinfahrzeug muss auf einem Kanal, in einem engen Fahrwasser und auf einem unübersichtlichen Gewässerabschnitt grundsätzlich rechts fahren.</w:t>
      </w:r>
    </w:p>
    <w:p>
      <w:pPr>
        <w:ind w:left="420"/>
      </w:pPr>
      <w:r>
        <w:t xml:space="preserve">2. Ein schleppendes Kleinfahrzeug darf höchstens neun Kleinfahrzeuge im Anhang führen. Es dürfen höchsten drei Kleinfahrzeuge gekuppelt fahren.</w:t>
      </w:r>
    </w:p>
    <w:p>
      <w:pPr>
        <w:ind w:left="420"/>
      </w:pPr>
      <w:r>
        <w:t xml:space="preserve">3. Abweichend von § 3.20 braucht ein Kleinfahrzeug bei Nacht kein weißes Licht zu führen, wenn es an einer genehmigten Liegestelle stillliegt.</w:t>
      </w:r>
    </w:p>
    <w:p>
      <w:pPr>
        <w:ind w:left="420"/>
      </w:pPr>
      <w:r>
        <w:t xml:space="preserve">4. Einem Kleinfahrzeug ist das Stillliegen ohne Erlaubnis der zuständigen Behörde nur bis zu drei Tagen gestattet.</w:t>
      </w:r>
    </w:p>
    <w:p>
      <w:pPr>
        <w:ind w:left="420"/>
      </w:pPr>
      <w:r>
        <w:t xml:space="preserve">5. Ein Kleinfahrzeug soll, sofern möglich, nur an den Enden einer Liegestelle stillliegen.</w:t>
      </w:r>
    </w:p>
    <w:p>
      <w:pPr>
        <w:ind w:left="420"/>
      </w:pPr>
      <w:r>
        <w:t xml:space="preserve">6. Ein unbemanntes Kleinfahrzeug darf nur an einer genehmigten Liegestelle stilliegen. Abweichend von Satz 1 darf ein unbemanntes Kleinfahrzeug an einer ungenehmigten Liegestelle bis zu einem Tag stillliegen. Satz 2 gilt nicht auf der Unteren Havel-Wasserstraße von km 0,00 bis km 4,00.</w:t>
      </w:r>
    </w:p>
    <w:p>
      <w:r>
        <w:rPr>
          <w:color w:val="555555"/>
          <w:sz w:val="17"/>
        </w:rPr>
        <w:t xml:space="preserve">Zitiervorschlag: § 22.24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