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22.10 BinSchStrO 2012 — Stillliegen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einem See oder einer seeartigen Erweiterung ist § 7.01 Nummer 1 Satz 1 unter der Voraussetzung, dass die durchgehende Schifffahrt nicht behindert wird, nicht anzuwenden.</w:t>
      </w:r>
    </w:p>
    <w:p>
      <w:pPr>
        <w:ind w:left="420"/>
      </w:pPr>
      <w:r>
        <w:t xml:space="preserve">2. Besondere Regelungen über das Stillliegen von Kleinfahrzeugen sind in § 22.24 enthalten.</w:t>
      </w:r>
    </w:p>
    <w:p>
      <w:r>
        <w:rPr>
          <w:color w:val="555555"/>
          <w:sz w:val="17"/>
        </w:rPr>
        <w:t xml:space="preserve">Zitiervorschlag: § 22.10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