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22.07 BinSchStrO 2012 — Überholen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Das Überholen auf einem Stichkanal, einem Nebenarm und einem Altarm ist verboten.</w:t>
      </w:r>
    </w:p>
    <w:p>
      <w:pPr>
        <w:ind w:left="420"/>
      </w:pPr>
      <w:r>
        <w:t xml:space="preserve">2. Einem Verband ist das Überholen auf der Unteren Havel-Wasserstraße, der Potsdamer Havel und dem Havelkanal verboten.</w:t>
      </w:r>
    </w:p>
    <w:p>
      <w:pPr>
        <w:ind w:left="420"/>
      </w:pPr>
      <w:r>
        <w:t xml:space="preserve">3. Abweichend von Nummer 2 ist einem Verband das Überholen</w:t>
      </w:r>
    </w:p>
    <w:p>
      <w:pPr>
        <w:ind w:left="780"/>
      </w:pPr>
      <w:r>
        <w:t xml:space="preserve">a) auf der Unteren Havel-Wasserstraße von der Spreemündung (km 0,00) bis Pritzerbe (km 78,75), wenn dessen Abmessungen die zugelassenen Abmessungen für ein einzeln fahrendes Fahrzeug nicht überschreiten,</w:t>
      </w:r>
    </w:p>
    <w:p>
      <w:pPr>
        <w:ind w:left="780"/>
      </w:pPr>
      <w:r>
        <w:t xml:space="preserve">b) auf einem See und einer seeartigen Erweiterung mit einer Gewässerbreite von mehr als 250,00 m</w:t>
      </w:r>
    </w:p>
    <w:p>
      <w:pPr>
        <w:ind w:left="420"/>
      </w:pPr>
      <w:r>
        <w:t xml:space="preserve">gestattet.</w:t>
      </w:r>
    </w:p>
    <w:p>
      <w:r>
        <w:rPr>
          <w:color w:val="555555"/>
          <w:sz w:val="17"/>
        </w:rPr>
        <w:t xml:space="preserve">Zitiervorschlag: § 22.07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