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22.05 BinSchStrO 2012 — Bergfahrt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Als Bergfahrt gilt</w:t>
      </w:r>
    </w:p>
    <w:p>
      <w:r>
        <w:rPr>
          <w:rFonts w:ascii="Courier New" w:hAnsi="Courier New"/>
          <w:sz w:val="17"/>
        </w:rPr>
        <w:t xml:space="preserve">auf dem, den oder der    die Fahrt in Richtung</w:t>
      </w:r>
    </w:p>
    <w:p>
      <w:r>
        <w:rPr>
          <w:rFonts w:ascii="Courier New" w:hAnsi="Courier New"/>
          <w:sz w:val="17"/>
        </w:rPr>
        <w:t xml:space="preserve">Unteren Havel-Wasserstraße mit Großer Wannseeund allen parallelen Nebenstrecken    Spreemündung</w:t>
      </w:r>
    </w:p>
    <w:p>
      <w:r>
        <w:rPr>
          <w:rFonts w:ascii="Courier New" w:hAnsi="Courier New"/>
          <w:sz w:val="17"/>
        </w:rPr>
        <w:t xml:space="preserve">Potsdamer Havel    Jungfernsee</w:t>
      </w:r>
    </w:p>
    <w:p>
      <w:r>
        <w:rPr>
          <w:rFonts w:ascii="Courier New" w:hAnsi="Courier New"/>
          <w:sz w:val="17"/>
        </w:rPr>
        <w:t xml:space="preserve">Havelkanal    Havel-Oder-Wasserstraße</w:t>
      </w:r>
    </w:p>
    <w:p>
      <w:r>
        <w:rPr>
          <w:rFonts w:ascii="Courier New" w:hAnsi="Courier New"/>
          <w:sz w:val="17"/>
        </w:rPr>
        <w:t xml:space="preserve">übrigen in § 22.01 genannten Nebenstrecken sowie Stichkanälen und Altarmen    Gewässerende.</w:t>
      </w:r>
    </w:p>
    <w:p>
      <w:r>
        <w:rPr>
          <w:color w:val="555555"/>
          <w:sz w:val="17"/>
        </w:rPr>
        <w:t xml:space="preserve">Zitiervorschlag: § 22.05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https://recht.nulegal.eu/gesetze/BinSchStrO%202012/22.05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