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22.01 BinSchStrO 2012 — Anwendungsbereich</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Die Vorschriften dieses Kapitels gelten auf folgenden Wasserstraßen:</w:t>
      </w:r>
    </w:p>
    <w:p>
      <w:pPr>
        <w:ind w:left="420"/>
      </w:pPr>
      <w:r>
        <w:t xml:space="preserve">1. der Unteren Havel-Wasserstraße (UHW) von der Spreemündung bei Spandau (UHW-km 0,00) bis zur Einmündung des Havelberger Schleusenkanals in die Elbe (UHW-km 148,43/El-km 422,79) einschließlich Pichelsdorfer Havel (Pichelsee), Kladower Seestrecke einschließlich Havelnebenarm, Scharfe Lanke und Sacrower Lanke, Jungfernsee, Sacrow-Paretzer Kanal (Weißer See), Brandenburger Oberhavel (Trebelsee), Silokanal, Quenzsee und Plauer See mit Großer Wannsee, Potsdamer Havel (einschließlich Tiefer See, Templiner See, Großer und Kleiner Zernsee nebst Petziensee, Schwielowsee, Glindowsee und Wublitz (Schlänitzsee) bis km 8,65, Nedlitzer Alte Fahrt nebst Lehnitzsee und Krampnitzsee, Ketziner Havel, Brandenburger Stadtkanal, Beetzsee-Riewendsee-Wasserstraße bis km 21,80, Brandenburger Niederhavel, Breitlingsee und Möserscher See, Rathenower Havel (einschließlich Rathenower Stadtkanal), Hohennauener Wasserstraße bis km 10,40 (einschließlich Hohennauener Kanal, Hohennauener See und Ferchesarer See), Mündungsstrecke Untere Havel bis Gnevsdorfer Vorfluter (km 156,75) und</w:t>
      </w:r>
    </w:p>
    <w:p>
      <w:pPr>
        <w:ind w:left="420"/>
      </w:pPr>
      <w:r>
        <w:t xml:space="preserve">2. dem Havelkanal.</w:t>
      </w:r>
    </w:p>
    <w:p>
      <w:r>
        <w:rPr>
          <w:color w:val="555555"/>
          <w:sz w:val="17"/>
        </w:rPr>
        <w:t xml:space="preserve">Zitiervorschlag: § 22.01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