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15.10.2021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</w:t>
      </w:r>
    </w:p>
    <w:p>
      <w:pPr>
        <w:ind w:left="1140"/>
      </w:pPr>
      <w:r>
        <w:t xml:space="preserve">aa) die zugelassene Höchstgeschwindigkeit nach § 21.04 Nummer 1 bis 3 und 4 Satz 1, jeweils auch in Verbindung mit Nummer 5, nicht überschreitet und</w:t>
      </w:r>
    </w:p>
    <w:p>
      <w:pPr>
        <w:ind w:left="1140"/>
      </w:pPr>
      <w:r>
        <w:t xml:space="preserve">bb) die geforderte Mindestgeschwindigkeit nach § 21.04 Nummer 6 nicht unterschreitet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beim Begegnen nach § 21.06 Nummer 1, 2 und 3 Satz 1,</w:t>
      </w:r>
    </w:p>
    <w:p>
      <w:pPr>
        <w:ind w:left="1140"/>
      </w:pPr>
      <w:r>
        <w:t xml:space="preserve">bb) das Verbot zu überholen nach § 21.07 Nummer 1, auch in Verbindung mit Nummer 2 und 3 Satz 1,</w:t>
      </w:r>
    </w:p>
    <w:p>
      <w:pPr>
        <w:ind w:left="1140"/>
      </w:pPr>
      <w:r>
        <w:t xml:space="preserve">cc) das Wenden nach § 21.08,</w:t>
      </w:r>
    </w:p>
    <w:p>
      <w:pPr>
        <w:ind w:left="1140"/>
      </w:pPr>
      <w:r>
        <w:t xml:space="preserve">dd) das Verhalten beim Durchfahren der Schleusen nach § 21.18 und</w:t>
      </w:r>
    </w:p>
    <w:p>
      <w:pPr>
        <w:ind w:left="1140"/>
      </w:pPr>
      <w:r>
        <w:t xml:space="preserve">ee) den Sprechfunk nach § 21.23 Nummer 2 und 3, Nummer 3 in Verbindung mit § 4.05 Nummer 3 Satz 1 bis 3,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von ihm geführte Fahrzeug oder der von ihm geführte Verband die zugelassenen Höchstabmessungen und Abladetiefen nach § 21.02 Nummer 1 nicht überschreitet,</w:t>
      </w:r>
    </w:p>
    <w:p>
      <w:pPr>
        <w:ind w:left="1140"/>
      </w:pPr>
      <w:r>
        <w:t xml:space="preserve">bb) auf dem von ihm geführten Fahrzeug oder Verband in dem in § 21.02 Nummer 1.3.1 und 1.3.2 jeweils genannten Fall die dort jeweils angegebene Ausrüstung vorhanden ist,</w:t>
      </w:r>
    </w:p>
    <w:p>
      <w:pPr>
        <w:ind w:left="1140"/>
      </w:pPr>
      <w:r>
        <w:t xml:space="preserve">cc) auf dem von ihm geführten Fahrzeug in dem in § 21.02 Nummer 1.1.3, 1.1.4, 1.1.5, 1.2.3, 1.5.2 und 1.5.3 jeweils genannten Fall die dort jeweils angegebene Ausrüstung vorhanden ist,</w:t>
      </w:r>
    </w:p>
    <w:p>
      <w:pPr>
        <w:ind w:left="1140"/>
      </w:pPr>
      <w:r>
        <w:t xml:space="preserve">dd) auf dem von ihm geführten Sportfahrzeug, von dem aus Sporttauchen betrieben wird, die Bezeichnung nach § 21.21 geführt wird,</w:t>
      </w:r>
    </w:p>
    <w:p>
      <w:pPr>
        <w:ind w:left="1140"/>
      </w:pPr>
      <w:r>
        <w:t xml:space="preserve">ee) der Bug eines von ihm geführten einzeln fahrenden oder schleppenden Fahrzeugs mit Pontonform der Form nach § 21.26 Nummer 1 Satz 1 entspricht und</w:t>
      </w:r>
    </w:p>
    <w:p>
      <w:pPr>
        <w:ind w:left="1140"/>
      </w:pPr>
      <w:r>
        <w:t xml:space="preserve">ff) der Bescheid über die Befreiung von einem Fahrverbot oder einer Einschränkung nach § 21.27 Nummer 7 Satz 2 an Bord mitgeführt und auf Verlangen den zur Kontrolle befugten Personen ausgehändigt wird,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21.03 Nummer 1, 2 Satz 1 und Nummer 3,</w:t>
      </w:r>
    </w:p>
    <w:p>
      <w:pPr>
        <w:ind w:left="1140"/>
      </w:pPr>
      <w:r>
        <w:t xml:space="preserve">bb) das Ankern nach § 21.09 Satz 1,</w:t>
      </w:r>
    </w:p>
    <w:p>
      <w:pPr>
        <w:ind w:left="1140"/>
      </w:pPr>
      <w:r>
        <w:t xml:space="preserve">cc) das Stillliegen nach § 21.10 Nummer 1, 2 Satz 1 und Nummer 3 und</w:t>
      </w:r>
    </w:p>
    <w:p>
      <w:pPr>
        <w:ind w:left="1140"/>
      </w:pPr>
      <w:r>
        <w:t xml:space="preserve">dd) das Führen eines Schubleichters nach § 21.26 Nummer 1 Satz 1</w:t>
      </w:r>
    </w:p>
    <w:p>
      <w:pPr>
        <w:ind w:left="780"/>
      </w:pPr>
      <w:r>
        <w:t xml:space="preserve">einzuhalten oder sicherzustellen, dass diese eingehalten werden,</w:t>
      </w:r>
    </w:p>
    <w:p>
      <w:pPr>
        <w:ind w:left="780"/>
      </w:pPr>
      <w:r>
        <w:t xml:space="preserve">c) das in § 21.20 vorgesehene Verbot, zu segeln, zu beachten oder sicherzustellen, dass dieses beachtet wird,</w:t>
      </w:r>
    </w:p>
    <w:p>
      <w:pPr>
        <w:ind w:left="780"/>
      </w:pPr>
      <w:r>
        <w:t xml:space="preserve">d) die Verkehrsregelungen nach § 21.22 Nummer 1, 2 und 3 Halbsatz 1 zu beachten oder sicherzustellen, dass diese beachtet werden,</w:t>
      </w:r>
    </w:p>
    <w:p>
      <w:pPr>
        <w:ind w:left="780"/>
      </w:pPr>
      <w:r>
        <w:t xml:space="preserve">e) die Sonderbestimmungen für Kleinfahrzeuge nach § 21.24 Nummer 1 Satz 1 Buchstabe a, b oder c, auch in Verbindung mit Satz 3, und Nummer 2, 3, 4 und 6 Satz 1 zu beachten oder sicherzustellen, dass diese beachtet werden,</w:t>
      </w:r>
    </w:p>
    <w:p>
      <w:pPr>
        <w:ind w:left="780"/>
      </w:pPr>
      <w:r>
        <w:t xml:space="preserve">f) das in § 21.27 Nummer 1 Satz 1, Nummer 2 Satz 1 und Nummer 3 jeweils vorgesehene Verbot, die dort jeweils angegebenen Binnenschifffahrtsstraßen zu befahren, zu beachten oder sicherzustellen, dass dieses jeweils beachtet wird, und</w:t>
      </w:r>
    </w:p>
    <w:p>
      <w:pPr>
        <w:ind w:left="780"/>
      </w:pPr>
      <w:r>
        <w:t xml:space="preserve">g) die Verkehrsbeschränkungen nach § 21.27 Nummer 4 Satz 1, Nummer 5 und 6 Satz 1 zu beachten oder sicherzustellen, dass diese beachtet werden.</w:t>
      </w:r>
    </w:p>
    <w:p>
      <w:pPr>
        <w:ind w:left="420"/>
      </w:pPr>
      <w:r>
        <w:t xml:space="preserve">3. Der Eigentümer und der Ausrüster</w:t>
      </w:r>
    </w:p>
    <w:p>
      <w:pPr>
        <w:ind w:left="780"/>
      </w:pPr>
      <w:r>
        <w:t xml:space="preserve">a) dürfen jeweils die Inbetriebnahme eines Fahrzeugs oder Verbandes nur anordnen oder zulassen, wenn</w:t>
      </w:r>
    </w:p>
    <w:p>
      <w:pPr>
        <w:ind w:left="1140"/>
      </w:pPr>
      <w:r>
        <w:t xml:space="preserve">aa) das Fahrzeug oder der Verband die zugelassenen Höchstabmessungen und Abladetiefen nach § 21.02 Nummer 1 nicht überschreitet,</w:t>
      </w:r>
    </w:p>
    <w:p>
      <w:pPr>
        <w:ind w:left="1140"/>
      </w:pPr>
      <w:r>
        <w:t xml:space="preserve">bb) auf dem Fahrzeug oder Verband in dem in § 21.02 Nummer 1.3.1 und 1.3.2 jeweils genannten Fall die dort jeweils angegebene Ausrüstung vorhanden ist und</w:t>
      </w:r>
    </w:p>
    <w:p>
      <w:pPr>
        <w:ind w:left="1140"/>
      </w:pPr>
      <w:r>
        <w:t xml:space="preserve">cc) auf dem Fahrzeug in dem in § 21.02 Nummer 1.1.3, 1.1.4, 1.1.5, 1.2.3, 1.5.2 und 1.5.3 jeweils genannten Fall die dort jeweils angegebene Ausrüstung vorhanden ist und</w:t>
      </w:r>
    </w:p>
    <w:p>
      <w:pPr>
        <w:ind w:left="780"/>
      </w:pPr>
      <w:r>
        <w:t xml:space="preserve">b) müssen jeweils dafür sorgen, dass der Bescheid über die Befreiung von einem Fahrverbot oder einer Einschränkung nach § 21.27 Nummer 7 Satz 2 an Bord mitgeführt wird.</w:t>
      </w:r>
    </w:p>
    <w:p>
      <w:r>
        <w:rPr>
          <w:color w:val="555555"/>
          <w:sz w:val="17"/>
        </w:rPr>
        <w:t xml:space="preserve">Zitiervorschlag: § 21.29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https://recht.nulegal.eu/gesetze/BinSchStrO%202012/21.29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