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21.23 BinSchStrO 2012 — Regelungen zum Sprechfunk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pPr>
        <w:ind w:left="420"/>
      </w:pPr>
      <w:r>
        <w:t xml:space="preserve">1. Abweichend von § 4.05 Nummer 2 darf ein Fahrgastschiff auf</w:t>
      </w:r>
    </w:p>
    <w:p>
      <w:pPr>
        <w:ind w:left="780"/>
      </w:pPr>
      <w:r>
        <w:t xml:space="preserve">a) der Löcknitz,</w:t>
      </w:r>
    </w:p>
    <w:p>
      <w:pPr>
        <w:ind w:left="780"/>
      </w:pPr>
      <w:r>
        <w:t xml:space="preserve">b) der Dahme-Wasserstraße von km 9,50 bis km 26,04 (oberhalb der Einmündung der Teupitzer Gewässer bei Prieros) und</w:t>
      </w:r>
    </w:p>
    <w:p>
      <w:pPr>
        <w:ind w:left="780"/>
      </w:pPr>
      <w:r>
        <w:t xml:space="preserve">c) den Storkower und Teupitzer Gewässern</w:t>
      </w:r>
    </w:p>
    <w:p>
      <w:pPr>
        <w:ind w:left="420"/>
      </w:pPr>
      <w:r>
        <w:t xml:space="preserve">auch fahren, wenn es nur mit einer betriebssicheren Sprechfunkanlage ausgerüstet ist.</w:t>
      </w:r>
    </w:p>
    <w:p>
      <w:pPr>
        <w:ind w:left="420"/>
      </w:pPr>
      <w:r>
        <w:t xml:space="preserve">2. Während der Fahrt muss die Sprechfunkanlage nach Nummer 1 im Verkehrskreis Schiff-Schiff ständig sende- und empfangsbereit sein. Dieser Verkehrskreis darf nur zur Übermittlung oder zum Empfang von Nachrichten auf anderen Kanälen kurzfristig verlassen werden.</w:t>
      </w:r>
    </w:p>
    <w:p>
      <w:pPr>
        <w:ind w:left="420"/>
      </w:pPr>
      <w:r>
        <w:t xml:space="preserve">3. Auf der Spree-Oder-Wasserstraße von km 12,01 (Lessingbrücke) bis km 17,80 gilt § 4.05 Nummer 3 Satz 1 bis 3 in der Zeit vom 1. April bis zum 31. Oktober täglich von 10:30 Uhr bis 19:00 Uhr auch für ein Kleinfahrzeug.</w:t>
      </w:r>
    </w:p>
    <w:p>
      <w:r>
        <w:rPr>
          <w:color w:val="555555"/>
          <w:sz w:val="17"/>
        </w:rPr>
        <w:t xml:space="preserve">Zitiervorschlag: § 21.23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