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21.19 BinSchStrO 2012 — Benutzung der Schleusen, Bootsschleusen und Bootsumsetzanlagen</w:t>
      </w:r>
    </w:p>
    <w:p>
      <w:r>
        <w:rPr>
          <w:color w:val="555555"/>
          <w:sz w:val="18"/>
        </w:rPr>
        <w:t xml:space="preserve">Binnenschifffahrtsstraßen-Ordnung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(keine besonderen Vorschriften)</w:t>
      </w:r>
    </w:p>
    <w:p>
      <w:r>
        <w:rPr>
          <w:color w:val="555555"/>
          <w:sz w:val="17"/>
        </w:rPr>
        <w:t xml:space="preserve">Zitiervorschlag: § 21.19 BinSchStrO 2012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https://recht.nulegal.eu/gesetze/BinSchStrO%202012/21.19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