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21.18 BinSchStrO 2012 — Durchfahren der Brücken, Sperrwerke, Wehre, Schleusen und einzelner Stromstrecken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Ein Fahrzeug mit einer Breite von mehr als 5,05 m darf die Schleuse Neue Mühle (Dahme-Wasserstraße) bei einem Wasserstand am Oberpegel unter 270 cm nur mit einer Abladetiefe von nicht mehr als 1,50 m befahren.</w:t>
      </w:r>
    </w:p>
    <w:p>
      <w:pPr>
        <w:ind w:left="420"/>
      </w:pPr>
      <w:r>
        <w:t xml:space="preserve">2. Auf der Spree-Oder-Wasserstraße ist von einem Fahrzeug oder einem Verband mit jeweils einer Breite von mehr als 8,25 m für das Durchfahren der Schleusenanlagen Wernsdorf (km 47,60) und Kersdorf (km 89,70) die jeweilige Nordkammer und für das Durchfahren der Schleusenanlage Fürstenwalde (km 74,70) die Südkammer zu nutzen.</w:t>
      </w:r>
    </w:p>
    <w:p>
      <w:r>
        <w:rPr>
          <w:color w:val="555555"/>
          <w:sz w:val="17"/>
        </w:rPr>
        <w:t xml:space="preserve">Zitiervorschlag: § 21.18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https://recht.nulegal.eu/gesetze/BinSchStrO%202012/21.18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