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21.16 BinSchStrO 2012 — Höhe der Brücken, sonstigen festen Überbauten und Freileitungen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