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21.08 BinSchStrO 2012 — Wenden</w:t>
      </w:r>
    </w:p>
    <w:p>
      <w:r>
        <w:rPr>
          <w:color w:val="555555"/>
          <w:sz w:val="18"/>
        </w:rPr>
        <w:t xml:space="preserve">Binnenschifffahrtsstraßen-Ordnung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Ein Fahrgastschiff, das auf der Spree-Oder-Wasserstraße im Bereich des unteren Vorhafens der Schleuse Mühlendamm (km 17,80) wenden will, muss das geplante Wendemanöver der Funkstelle „Mühlendamm Schleuse“ über UKW-Sprechfunkkanal 20 vor Einfahrt in den Schleusenvorhafenbereich anzeigen.</w:t>
      </w:r>
    </w:p>
    <w:p>
      <w:r>
        <w:rPr>
          <w:color w:val="555555"/>
          <w:sz w:val="17"/>
        </w:rPr>
        <w:t xml:space="preserve">Zitiervorschlag: § 21.08 BinSchStrO 2012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https://recht.nulegal.eu/gesetze/BinSchStrO%202012/21.08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