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21.10.2025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Fahrzeug oder der Verband die zugelassene Höchstgeschwindigkeit nach § 20.04 Nummer 1, auch in Verbindung mit Nummer 2, nicht überschreitet und</w:t>
      </w:r>
    </w:p>
    <w:p>
      <w:pPr>
        <w:ind w:left="1140"/>
      </w:pPr>
      <w:r>
        <w:t xml:space="preserve">bb) bei einem Fahrzeug mit einer Länge von mehr als 110,00 m der Maschinenantrieb sowie die Bugstrahlanlage gemäß § 20.02 Nummer 1 Satz 3 Halbsatz 2 nicht über das nautisch erforderliche Maß hinaus benutzt werden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oder die Zeichengebung beim Begegnen nach § 20.06 Nummer 1, 2 Satz 1, 3 und Nummer 3,</w:t>
      </w:r>
    </w:p>
    <w:p>
      <w:pPr>
        <w:ind w:left="1140"/>
      </w:pPr>
      <w:r>
        <w:t xml:space="preserve">bb) das Wenden nach § 20.08 Satz 1,</w:t>
      </w:r>
    </w:p>
    <w:p>
      <w:pPr>
        <w:ind w:left="1140"/>
      </w:pPr>
      <w:r>
        <w:t xml:space="preserve">cc) die Schifffahrt bei Hochwasser nach § 20.11 Nummer 1 und</w:t>
      </w:r>
    </w:p>
    <w:p>
      <w:pPr>
        <w:ind w:left="1140"/>
      </w:pPr>
      <w:r>
        <w:t xml:space="preserve">dd) die Benutzung der Schleusen nach § 20.19 Satz 1, auch in Verbindung mit Satz 2,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von ihm geführte Fahrzeug oder der von ihm geführte Verband die zugelassenen Höchstabmessungen nach § 20.02 Nummer 1 Satz 1 nicht überschreitet,</w:t>
      </w:r>
    </w:p>
    <w:p>
      <w:pPr>
        <w:ind w:left="1140"/>
      </w:pPr>
      <w:r>
        <w:t xml:space="preserve">bb) auf dem von ihm geführten Fahrzeug oder Verband in dem in § 20.02 Nummer 1 Satz 2 genannten Fall die dort angegebene Ausrüstung vorhanden ist,</w:t>
      </w:r>
    </w:p>
    <w:p>
      <w:pPr>
        <w:ind w:left="1140"/>
      </w:pPr>
      <w:r>
        <w:t xml:space="preserve">cc) das von ihm geführte Fahrzeug mit einer Länge von mehr als 110,00 m den in § 20.02 Nummer 1 Satz 3 Halbsatz 1 genannten Anforderungen entspricht,</w:t>
      </w:r>
    </w:p>
    <w:p>
      <w:pPr>
        <w:ind w:left="1140"/>
      </w:pPr>
      <w:r>
        <w:t xml:space="preserve">dd) der Nachweis über die Kentersicherheit der getrennten Schiffsteile nach § 20.02 Nummer 1 Satz 3 Halbsatz 2 Buchstabe b an Bord mitgeführt und nach § 20.02 Nummer 1 Satz 4 auf Verlangen der Wasserschutzpolizei oder den Bediensteten der zuständigen Behörde zur Kontrolle ausgehändigt wird und</w:t>
      </w:r>
    </w:p>
    <w:p>
      <w:pPr>
        <w:ind w:left="1140"/>
      </w:pPr>
      <w:r>
        <w:t xml:space="preserve">ee) die Sondererlaubnis nach § 20.02 Nummer 1 Satz 5 an Bord mitgeführt und nach § 20.02 Nummer 1 Satz 6 auf Verlangen der Wasserschutzpolizei oder den Bediensteten der zuständigen Behörde zur Kontrolle ausgehändigt wird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20.03,</w:t>
      </w:r>
    </w:p>
    <w:p>
      <w:pPr>
        <w:ind w:left="1140"/>
      </w:pPr>
      <w:r>
        <w:t xml:space="preserve">bb) das Ankern nach § 20.09,</w:t>
      </w:r>
    </w:p>
    <w:p>
      <w:pPr>
        <w:ind w:left="1140"/>
      </w:pPr>
      <w:r>
        <w:t xml:space="preserve">cc) das Stillliegen nach § 20.10,</w:t>
      </w:r>
    </w:p>
    <w:p>
      <w:pPr>
        <w:ind w:left="1140"/>
      </w:pPr>
      <w:r>
        <w:t xml:space="preserve">dd) den Einsatz von Trägerschiffsleichtern nach § 20.14 Satz 1 und</w:t>
      </w:r>
    </w:p>
    <w:p>
      <w:pPr>
        <w:ind w:left="1140"/>
      </w:pPr>
      <w:r>
        <w:t xml:space="preserve">ee) die Meldepflicht nach § 20.15 Nummer 1 Satz 1, 2, Nummer 2, 3 Satz 2 bis 4 und Nummer 4 bis 6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3. Der Eigentümer und der Ausrüster</w:t>
      </w:r>
    </w:p>
    <w:p>
      <w:pPr>
        <w:ind w:left="780"/>
      </w:pPr>
      <w:r>
        <w:t xml:space="preserve">a) dürfen jeweils die Inbetriebnahme eines Fahrzeugs oder Verbandes nur anordnen oder zulassen, wenn</w:t>
      </w:r>
    </w:p>
    <w:p>
      <w:pPr>
        <w:ind w:left="1140"/>
      </w:pPr>
      <w:r>
        <w:t xml:space="preserve">aa) das Fahrzeug oder der Verband die zugelassenen Höchstabmessungen nach § 20.02 Nummer 1 Satz 1 nicht überschreitet,</w:t>
      </w:r>
    </w:p>
    <w:p>
      <w:pPr>
        <w:ind w:left="1140"/>
      </w:pPr>
      <w:r>
        <w:t xml:space="preserve">bb) auf dem Fahrzeug oder Verband in dem in § 20.02 Nummer 1 Satz 2 genannten Fall die dort angegebene Ausrüstung vorhanden ist und</w:t>
      </w:r>
    </w:p>
    <w:p>
      <w:pPr>
        <w:ind w:left="1140"/>
      </w:pPr>
      <w:r>
        <w:t xml:space="preserve">cc) das Fahrzeug mit einer Länge von mehr als 110,00 m den in § 20.02 Nummer 1 Satz 3 Halbsatz 1 genannten Anforderungen entspricht und</w:t>
      </w:r>
    </w:p>
    <w:p>
      <w:pPr>
        <w:ind w:left="780"/>
      </w:pPr>
      <w:r>
        <w:t xml:space="preserve">b) müssen jeweils dafür sorgen, dass</w:t>
      </w:r>
    </w:p>
    <w:p>
      <w:pPr>
        <w:ind w:left="1140"/>
      </w:pPr>
      <w:r>
        <w:t xml:space="preserve">aa) der Nachweis über die Kentersicherheit der getrennten Schiffsteile nach § 20.02 Nummer 1 Satz 3 Halbsatz 2 Buchstabe b und</w:t>
      </w:r>
    </w:p>
    <w:p>
      <w:pPr>
        <w:ind w:left="1140"/>
      </w:pPr>
      <w:r>
        <w:t xml:space="preserve">bb) die Sondererlaubnis nach § 20.02 Nummer 1 Satz 5</w:t>
      </w:r>
    </w:p>
    <w:p>
      <w:pPr>
        <w:ind w:left="780"/>
      </w:pPr>
      <w:r>
        <w:t xml:space="preserve">an Bord mitgeführt werden.</w:t>
      </w:r>
    </w:p>
    <w:p>
      <w:r>
        <w:rPr>
          <w:color w:val="555555"/>
          <w:sz w:val="17"/>
        </w:rPr>
        <w:t xml:space="preserve">Zitiervorschlag: § 20.29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