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20.27 BinSchStrO 2012 — Verkehrsbeschränkungen der Schifffahrt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20.27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https://recht.nulegal.eu/gesetze/BinSchStrO%202012/20.27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20.27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