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20.16 BinSchStrO 2012 — Höhe der Brücken, sonstigen festen Überbauten und Freileitungen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rPr>
          <w:rFonts w:ascii="Courier New" w:hAnsi="Courier New"/>
          <w:sz w:val="17"/>
        </w:rPr>
        <w:t xml:space="preserve">Die Durchfahrtshöhe unter den Brücken beträgt beim Höchsten Schifffahrtswasserstand (HSW) – Hochwassermarke –</w:t>
      </w:r>
    </w:p>
    <w:p>
      <w:r>
        <w:rPr>
          <w:rFonts w:ascii="Courier New" w:hAnsi="Courier New"/>
          <w:sz w:val="17"/>
        </w:rPr>
        <w:t xml:space="preserve">1.    von der Saarmündung (km 0,00) bis zum Ende der ausgebauten Strecke (km 87,20)    mindestens 5,25 m,</w:t>
      </w:r>
    </w:p>
    <w:p>
      <w:r>
        <w:rPr>
          <w:rFonts w:ascii="Courier New" w:hAnsi="Courier New"/>
          <w:sz w:val="17"/>
        </w:rPr>
        <w:t xml:space="preserve">2.    von der Luisenbrücke (km 87,23) bis zur Straßenbrücke Güdingen (km 93,26)    mindestens 4,90 m.</w:t>
      </w:r>
    </w:p>
    <w:p>
      <w:r>
        <w:rPr>
          <w:color w:val="555555"/>
          <w:sz w:val="17"/>
        </w:rPr>
        <w:t xml:space="preserve">Zitiervorschlag: § 20.16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https://recht.nulegal.eu/gesetze/BinSchStrO%202012/20.16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