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21.10.2025 (konsolidierte Textfassung, kein amtliches Inkrafttretensdatum)</w:t>
      </w:r>
    </w:p>
    <w:p>
      <w:r>
        <w:rPr>
          <w:rFonts w:ascii="Courier New" w:hAnsi="Courier New"/>
          <w:sz w:val="17"/>
        </w:rPr>
        <w:t xml:space="preserve">1.    Erreicht oder überschreitet der Wasserstand den Höchsten Schifffahrtswasserstand (HSW) – Hochwassermarke – an dem Richtpegel für den unter Nummer 2 jeweils aufgeführten Streckenabschnitt, ist die Schifffahrt innerhalb des jeweiligen Streckenabschnitts verboten.</w:t>
      </w:r>
    </w:p>
    <w:p>
      <w:r>
        <w:rPr>
          <w:rFonts w:ascii="Courier New" w:hAnsi="Courier New"/>
          <w:sz w:val="17"/>
        </w:rPr>
        <w:t xml:space="preserve">2.    Die in Nummer 1 genannte Hochwassermarke wird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    Strecke    Richtpegel    Hochwassermarke    </w:t>
      </w:r>
    </w:p>
    <w:p>
      <w:r>
        <w:rPr>
          <w:rFonts w:ascii="Courier New" w:hAnsi="Courier New"/>
          <w:sz w:val="17"/>
        </w:rPr>
        <w:t xml:space="preserve">    Saarmündung (km 0,00) bis zum Unterwasser der            </w:t>
      </w:r>
    </w:p>
    <w:p>
      <w:r>
        <w:rPr>
          <w:rFonts w:ascii="Courier New" w:hAnsi="Courier New"/>
          <w:sz w:val="17"/>
        </w:rPr>
        <w:t xml:space="preserve">    Schleuse Kanzem (km 5,10)    Grevenmacher    520 cm    </w:t>
      </w:r>
    </w:p>
    <w:p>
      <w:r>
        <w:rPr>
          <w:rFonts w:ascii="Courier New" w:hAnsi="Courier New"/>
          <w:sz w:val="17"/>
        </w:rPr>
        <w:t xml:space="preserve">        (Mosel-km 212,50)        </w:t>
      </w:r>
    </w:p>
    <w:p>
      <w:r>
        <w:rPr>
          <w:rFonts w:ascii="Courier New" w:hAnsi="Courier New"/>
          <w:sz w:val="17"/>
        </w:rPr>
        <w:t xml:space="preserve">    Schleuse Kanzem (km 5,10) bis zum Unterwasserder Schleuse Lisdorf (km 66,10) einschließlichWiltinger Bogen    Fremersdorf    390 cm    </w:t>
      </w:r>
    </w:p>
    <w:p>
      <w:r>
        <w:rPr>
          <w:rFonts w:ascii="Courier New" w:hAnsi="Courier New"/>
          <w:sz w:val="17"/>
        </w:rPr>
        <w:t xml:space="preserve">    Schleuse Lisdorf (km 66,10) bis zum Unterwasserder Schleuse Saarbrücken (km 82,50)    Saarbrücken-St. Arnual    290 cm    </w:t>
      </w:r>
    </w:p>
    <w:p>
      <w:r>
        <w:rPr>
          <w:rFonts w:ascii="Courier New" w:hAnsi="Courier New"/>
          <w:sz w:val="17"/>
        </w:rPr>
        <w:t xml:space="preserve">    Schleuse Saarbrücken (km 82,50) bis zum Unter-wasser der Schleuse Güdingen (km 92,90)    Saarbrücken-St. Arnual    230 cm.    </w:t>
      </w:r>
    </w:p>
    <w:p>
      <w:r>
        <w:rPr>
          <w:rFonts w:ascii="Courier New" w:hAnsi="Courier New"/>
          <w:sz w:val="17"/>
        </w:rPr>
        <w:t xml:space="preserve">3.    In der Stauhaltung Saarbrücken (km 82,50 bis km 92,90) kann die zuständige Behörde abweichend von Nummer 1 Ausnahmen zulassen.</w:t>
      </w:r>
    </w:p>
    <w:p>
      <w:r>
        <w:rPr>
          <w:color w:val="555555"/>
          <w:sz w:val="17"/>
        </w:rPr>
        <w:t xml:space="preserve">Zitiervorschlag: § 20.11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