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20.06 BinSchStrO 2012 — Begegnen</w:t>
      </w:r>
    </w:p>
    <w:p>
      <w:r>
        <w:rPr>
          <w:color w:val="555555"/>
          <w:sz w:val="18"/>
        </w:rPr>
        <w:t xml:space="preserve">Binnenschifffahrtsstraßen-Ordnung</w:t>
      </w:r>
    </w:p>
    <w:p>
      <w:r>
        <w:rPr>
          <w:color w:val="555555"/>
          <w:sz w:val="18"/>
        </w:rPr>
        <w:t xml:space="preserve">Stand: 10.06.2019 (konsolidierte Textfassung, kein amtliches Inkrafttretensdatum)</w:t>
      </w:r>
    </w:p>
    <w:p>
      <w:r>
        <w:rPr>
          <w:rFonts w:ascii="Courier New" w:hAnsi="Courier New"/>
          <w:sz w:val="17"/>
        </w:rPr>
        <w:t xml:space="preserve">1.        Auf folgenden Fahrwasserengen besteht Begegnungsverbot:</w:t>
      </w:r>
    </w:p>
    <w:p>
      <w:r>
        <w:rPr>
          <w:rFonts w:ascii="Courier New" w:hAnsi="Courier New"/>
          <w:sz w:val="17"/>
        </w:rPr>
        <w:t xml:space="preserve">    a)    für ein Fahrzeug oder einen Verband (ausgenommen Kleinfahrzeuge untereinander):</w:t>
      </w:r>
    </w:p>
    <w:p>
      <w:r>
        <w:rPr>
          <w:rFonts w:ascii="Courier New" w:hAnsi="Courier New"/>
          <w:sz w:val="17"/>
        </w:rPr>
        <w:t xml:space="preserve">        Völklingen    km Völklingen 75,20 bis km 76,10;</w:t>
      </w:r>
    </w:p>
    <w:p>
      <w:r>
        <w:rPr>
          <w:rFonts w:ascii="Courier New" w:hAnsi="Courier New"/>
          <w:sz w:val="17"/>
        </w:rPr>
        <w:t xml:space="preserve">    b)    für ein Fahrzeug oder einen Verband (ausgenommen Kleinfahrzeuge):</w:t>
      </w:r>
    </w:p>
    <w:p>
      <w:r>
        <w:rPr>
          <w:rFonts w:ascii="Courier New" w:hAnsi="Courier New"/>
          <w:sz w:val="17"/>
        </w:rPr>
        <w:t xml:space="preserve">        aa)    Taben-Roth    km 21,20 bis km 23,40,</w:t>
      </w:r>
    </w:p>
    <w:p>
      <w:r>
        <w:rPr>
          <w:rFonts w:ascii="Courier New" w:hAnsi="Courier New"/>
          <w:sz w:val="17"/>
        </w:rPr>
        <w:t xml:space="preserve">        bb)    Mettlach Oberwasser    km 32,40 bis km 33,00;</w:t>
      </w:r>
    </w:p>
    <w:p>
      <w:r>
        <w:rPr>
          <w:rFonts w:ascii="Courier New" w:hAnsi="Courier New"/>
          <w:sz w:val="17"/>
        </w:rPr>
        <w:t xml:space="preserve">    c)    für einen Verband:    </w:t>
      </w:r>
    </w:p>
    <w:p>
      <w:r>
        <w:rPr>
          <w:rFonts w:ascii="Courier New" w:hAnsi="Courier New"/>
          <w:sz w:val="17"/>
        </w:rPr>
        <w:t xml:space="preserve">        aa)    WSA-Umschlagstelle im Schleusenkanal Kanzem    km 5,70 bis km 7,20,</w:t>
      </w:r>
    </w:p>
    <w:p>
      <w:r>
        <w:rPr>
          <w:rFonts w:ascii="Courier New" w:hAnsi="Courier New"/>
          <w:sz w:val="17"/>
        </w:rPr>
        <w:t xml:space="preserve">        bb)    Saarburg    km 11,70 bis km 12,50,</w:t>
      </w:r>
    </w:p>
    <w:p>
      <w:r>
        <w:rPr>
          <w:rFonts w:ascii="Courier New" w:hAnsi="Courier New"/>
          <w:sz w:val="17"/>
        </w:rPr>
        <w:t xml:space="preserve">        cc)    Serrig    km 14,10 bis km 16,20,</w:t>
      </w:r>
    </w:p>
    <w:p>
      <w:r>
        <w:rPr>
          <w:rFonts w:ascii="Courier New" w:hAnsi="Courier New"/>
          <w:sz w:val="17"/>
        </w:rPr>
        <w:t xml:space="preserve">        dd)    Mettlach Unterwasser    km 28,50 bis km 30,50,</w:t>
      </w:r>
    </w:p>
    <w:p>
      <w:r>
        <w:rPr>
          <w:rFonts w:ascii="Courier New" w:hAnsi="Courier New"/>
          <w:sz w:val="17"/>
        </w:rPr>
        <w:t xml:space="preserve">        ee)    Saarschleife    km 33,60 bis km 35,20,</w:t>
      </w:r>
    </w:p>
    <w:p>
      <w:r>
        <w:rPr>
          <w:rFonts w:ascii="Courier New" w:hAnsi="Courier New"/>
          <w:sz w:val="17"/>
        </w:rPr>
        <w:t xml:space="preserve">        ff)    Fußgängerbrücke Fremersdorf    km 47,70 bis km 48,90,</w:t>
      </w:r>
    </w:p>
    <w:p>
      <w:r>
        <w:rPr>
          <w:rFonts w:ascii="Courier New" w:hAnsi="Courier New"/>
          <w:sz w:val="17"/>
        </w:rPr>
        <w:t xml:space="preserve">        gg)    Lisdorfer Au    km 61,00 bis km 64,00.</w:t>
      </w:r>
    </w:p>
    <w:p>
      <w:r>
        <w:rPr>
          <w:rFonts w:ascii="Courier New" w:hAnsi="Courier New"/>
          <w:sz w:val="17"/>
        </w:rPr>
        <w:t xml:space="preserve">2.    Ein Bergfahrer muss bei Annäherung an eine Fahrwasserenge einen Talfahrer auf Kanal 10 anrufen und auffordern, ihm Art, Namen, Standort und Fahrtrichtung des Fahrzeugs mitzuteilen. Meldet sich kein Talfahrer, darf der Bergfahrer in die Fahrwasserenge einfahren, ausgenommen in die Fahrwasserengen</w:t>
      </w:r>
    </w:p>
    <w:p>
      <w:r>
        <w:rPr>
          <w:rFonts w:ascii="Courier New" w:hAnsi="Courier New"/>
          <w:sz w:val="17"/>
        </w:rPr>
        <w:t xml:space="preserve">    a)    Taben-Roth    km 21,20 und</w:t>
      </w:r>
    </w:p>
    <w:p>
      <w:r>
        <w:rPr>
          <w:rFonts w:ascii="Courier New" w:hAnsi="Courier New"/>
          <w:sz w:val="17"/>
        </w:rPr>
        <w:t xml:space="preserve">    b)    Saarschleife    km 33,60.</w:t>
      </w:r>
    </w:p>
    <w:p>
      <w:r>
        <w:rPr>
          <w:rFonts w:ascii="Courier New" w:hAnsi="Courier New"/>
          <w:sz w:val="17"/>
        </w:rPr>
        <w:t xml:space="preserve">    In die in Satz 2 genannten Fahrwasserengen darf er nur einfahren, wenn er vorher zur Kontrolle des ordnungsgemäßen Funkbetriebs im Bereich dieser Fahrwasserengen auf Kanal 10 zwei tiefe Töne von je einer Sekunde Dauer empfangen hat.</w:t>
      </w:r>
    </w:p>
    <w:p>
      <w:r>
        <w:rPr>
          <w:rFonts w:ascii="Courier New" w:hAnsi="Courier New"/>
          <w:sz w:val="17"/>
        </w:rPr>
        <w:t xml:space="preserve">3.    Ein Talfahrer muss bei Annäherung an eine Fahrwasserenge auf Kanal 10 mehrmals Art, Namen, Standort und Fahrtrichtung seines Fahrzeugs ansagen. Dieselben Angaben muss er machen, wenn er von einem Bergfahrer angesprochen wird.</w:t>
      </w:r>
    </w:p>
    <w:p>
      <w:r>
        <w:rPr>
          <w:rFonts w:ascii="Courier New" w:hAnsi="Courier New"/>
          <w:sz w:val="17"/>
        </w:rPr>
        <w:t xml:space="preserve">4.    Die Nummern 2 und 3 gelten nicht für ein Kleinfahrzeug.</w:t>
      </w:r>
    </w:p>
    <w:p>
      <w:r>
        <w:rPr>
          <w:color w:val="555555"/>
          <w:sz w:val="17"/>
        </w:rPr>
        <w:t xml:space="preserve">Zitiervorschlag: § 20.06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https://recht.nulegal.eu/gesetze/BinSchStrO%202012/20.06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