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2.07 BinSchStrO 2012 — Verhaltenspflichten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pPr>
        <w:ind w:left="420"/>
      </w:pPr>
      <w:r>
        <w:t xml:space="preserve">1. Der Eigentümer und der Ausrüster dürfen jeweils die Inbetriebnahme eines Fahrzeugs nur dann anordnen oder zulassen, wenn</w:t>
      </w:r>
    </w:p>
    <w:p>
      <w:pPr>
        <w:ind w:left="780"/>
      </w:pPr>
      <w:r>
        <w:t xml:space="preserve">a) das Fahrzeug nach den §§ 2.01, 2.02 oder 2.06 in der dort vorgeschriebenen Weise gekennzeichnet ist,</w:t>
      </w:r>
    </w:p>
    <w:p>
      <w:pPr>
        <w:ind w:left="780"/>
      </w:pPr>
      <w:r>
        <w:t xml:space="preserve">b) das Fahrzeug nach § 2.03 geeicht ist,</w:t>
      </w:r>
    </w:p>
    <w:p>
      <w:pPr>
        <w:ind w:left="780"/>
      </w:pPr>
      <w:r>
        <w:t xml:space="preserve">c) an dem Fahrzeug Einsenkungsmarken nach § 2.04 Nummer 1 und im Falle eines Tiefgangs des Fahrzeugs von mehr als 1,00 m zusätzlich Tiefgangsanzeiger nach § 2.04 Nummer 2 angebracht sind und</w:t>
      </w:r>
    </w:p>
    <w:p>
      <w:pPr>
        <w:ind w:left="780"/>
      </w:pPr>
      <w:r>
        <w:t xml:space="preserve">d) die Schiffsanker nach § 2.05 Nummer 1, auch in Verbindung mit Nummer 2 oder 3 Satz 2, in der dort vorgeschriebenen Weise gekennzeichnet sind.</w:t>
      </w:r>
    </w:p>
    <w:p>
      <w:pPr>
        <w:ind w:left="420"/>
      </w:pPr>
      <w:r>
        <w:t xml:space="preserve">2. Der Schiffsführer darf ein Fahrzeug nur führen, wenn</w:t>
      </w:r>
    </w:p>
    <w:p>
      <w:pPr>
        <w:ind w:left="780"/>
      </w:pPr>
      <w:r>
        <w:t xml:space="preserve">a) das Fahrzeug nach den §§ 2.01, 2.02 oder 2.06 in der dort vorgeschriebenen Weise gekennzeichnet ist,</w:t>
      </w:r>
    </w:p>
    <w:p>
      <w:pPr>
        <w:ind w:left="780"/>
      </w:pPr>
      <w:r>
        <w:t xml:space="preserve">b) das Fahrzeug nach § 2.03 geeicht ist,</w:t>
      </w:r>
    </w:p>
    <w:p>
      <w:pPr>
        <w:ind w:left="780"/>
      </w:pPr>
      <w:r>
        <w:t xml:space="preserve">c) an dem Fahrzeug Einsenkungsmarken nach § 2.04 Nummer 1 und im Falle eines Tiefgangs des Fahrzeugs von mehr als 1,00 m zusätzlich Tiefgangsanzeiger nach § 2.04 Nummer 2 angebracht sind und</w:t>
      </w:r>
    </w:p>
    <w:p>
      <w:pPr>
        <w:ind w:left="780"/>
      </w:pPr>
      <w:r>
        <w:t xml:space="preserve">d) die Schiffsanker nach § 2.05 Nummer 1, auch in Verbindung mit Nummer 2 oder 3 Satz 2, in der dort vorgeschriebenen Weise gekennzeichnet sind.</w:t>
      </w:r>
    </w:p>
    <w:p>
      <w:r>
        <w:rPr>
          <w:color w:val="555555"/>
          <w:sz w:val="17"/>
        </w:rPr>
        <w:t xml:space="preserve">Zitiervorschlag: § 2.07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