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 BinSchStrO 2012 — Kennzeichen der Anker</w:t>
      </w:r>
    </w:p>
    <w:p>
      <w:r>
        <w:rPr>
          <w:color w:val="555555"/>
          <w:sz w:val="18"/>
        </w:rPr>
        <w:t xml:space="preserve">Binnenschifffahrtsstraßen-Ordnung</w:t>
      </w:r>
    </w:p>
    <w:p>
      <w:r>
        <w:rPr>
          <w:color w:val="555555"/>
          <w:sz w:val="18"/>
        </w:rPr>
        <w:t xml:space="preserve">Stand: 15.10.2021 (konsolidierte Textfassung, kein amtliches Inkrafttretensdatum)</w:t>
      </w:r>
    </w:p>
    <w:p>
      <w:pPr>
        <w:ind w:left="420"/>
      </w:pPr>
      <w:r>
        <w:t xml:space="preserve">1. Ein Schiffsanker muss ein dauerhaftes Kennzeichen tragen. Dieses muss mindestens die einheitliche europäische Schiffsnummer (ENI) des Fahrzeugs enthalten.</w:t>
      </w:r>
    </w:p>
    <w:p>
      <w:pPr>
        <w:ind w:left="420"/>
      </w:pPr>
      <w:r>
        <w:t xml:space="preserve">2. Abweichend von Nummer 1 sind bei einem Anker, der sich am 14. Oktober 2021 an Bord eines Fahrzeugs befindet, weiterhin die Nummer der Fahrtauglichkeitsbescheinigung und die Unterscheidungsbuchstaben der Schiffsuntersuchungskommission oder der Name und Wohnort des Eigentümers des Fahrzeugs zulässig. Wird die Nummer der Fahrtauglichkeitsbescheinigung geändert, ist Satz 1 nicht mehr anzuwenden.</w:t>
      </w:r>
    </w:p>
    <w:p>
      <w:pPr>
        <w:ind w:left="420"/>
      </w:pPr>
      <w:r>
        <w:t xml:space="preserve">3. Nummer 1, auch in Verbindung mit Nummer 2, gilt nicht für Anker eines Kleinfahrzeugs oder eines Seeschiffes. Bei einem Seeschiff reicht es aus, wenn die Anker mit dem Unterscheidungssignal des Schiffes gekennzeichnet sind.</w:t>
      </w:r>
    </w:p>
    <w:p>
      <w:r>
        <w:rPr>
          <w:color w:val="555555"/>
          <w:sz w:val="17"/>
        </w:rPr>
        <w:t xml:space="preserve">Zitiervorschlag: § 2.05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