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2.04 BinSchStrO 2012 — Einsenkungsmarken und Tiefgangsanzeiger</w:t>
      </w:r>
    </w:p>
    <w:p>
      <w:r>
        <w:rPr>
          <w:color w:val="555555"/>
          <w:sz w:val="18"/>
        </w:rPr>
        <w:t xml:space="preserve">Binnenschifffahrtsstraßen-Ordnung</w:t>
      </w:r>
    </w:p>
    <w:p>
      <w:r>
        <w:rPr>
          <w:color w:val="555555"/>
          <w:sz w:val="18"/>
        </w:rPr>
        <w:t xml:space="preserve">Stand: 10.06.2019 (konsolidierte Textfassung, kein amtliches Inkrafttretensdatum)</w:t>
      </w:r>
    </w:p>
    <w:p>
      <w:pPr>
        <w:ind w:left="420"/>
      </w:pPr>
      <w:r>
        <w:t xml:space="preserve">1. An jedem Fahrzeug – mit Ausnahme eines Kleinfahrzeugs – müssen Marken angebracht sein, welche die Ebene der größten Einsenkung anzeigen. Bei einem Seeschiff ersetzt die „Frischwassermarke im Sommer“ die Einsenkungsmarken. Die Einzelheiten über die Festsetzung der größten Einsenkung und die Grundsätze für die Anbringung der Einsenkungsmarken richten sich nach der Binnenschiffsuntersuchungsordnung.</w:t>
      </w:r>
    </w:p>
    <w:p>
      <w:pPr>
        <w:ind w:left="420"/>
      </w:pPr>
      <w:r>
        <w:t xml:space="preserve">2. An jedem Fahrzeug – mit Ausnahme eines Kleinfahrzeugs –, dessen Tiefgang 1,00 m überschreiten kann, müssen Tiefgangsanzeiger angebracht sein. Die Grundsätze für ihre Anbringung richten sich nach der Binnenschiffsuntersuchungsordnung.</w:t>
      </w:r>
    </w:p>
    <w:p>
      <w:r>
        <w:rPr>
          <w:color w:val="555555"/>
          <w:sz w:val="17"/>
        </w:rPr>
        <w:t xml:space="preserve">Zitiervorschlag: § 2.04 BinSchStrO 2012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https://recht.nulegal.eu/gesetze/BinSchStrO%202012/2.04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