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19.01 BinSchStrO 2012 — Anwendungsbereich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Kapitels gelten auf</w:t>
      </w:r>
    </w:p>
    <w:p>
      <w:pPr>
        <w:ind w:left="420"/>
      </w:pPr>
      <w:r>
        <w:t xml:space="preserve">1. dem Elbe-Lübeck-Kanal (ELK) von der Abzweigung aus der Trave, 71,00 m nordöstlich der Achse der Geniner Straßenbrücke (ELK-km 0,00) bis zur Einmündung in die Elbe bei Lauenburg (ELK-km 61,55/El-km 569,23) und</w:t>
      </w:r>
    </w:p>
    <w:p>
      <w:pPr>
        <w:ind w:left="420"/>
      </w:pPr>
      <w:r>
        <w:t xml:space="preserve">2. der Kanaltrave von der Abzweigung des Elbe-Lübeck-Kanals bis zur Nordwestkante der Eisenbahnhubbrücke in Lübeck mit Nebenarm Stadttrave von der Abzweigung aus der Kanaltrave bis zur Südkante der Wipperbrücke.</w:t>
      </w:r>
    </w:p>
    <w:p>
      <w:r>
        <w:rPr>
          <w:color w:val="555555"/>
          <w:sz w:val="17"/>
        </w:rPr>
        <w:t xml:space="preserve">Zitiervorschlag: § 19.01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