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 die zugelassene Höchstgeschwindigkeit nach § 18.04 nicht überschreitet und</w:t>
      </w:r>
    </w:p>
    <w:p>
      <w:pPr>
        <w:ind w:left="780"/>
      </w:pPr>
      <w:r>
        <w:t xml:space="preserve">b) die Vorschrift über das Wenden nach § 18.08 einzuhalten oder sicherzustellen, dass diese eingehalten wird.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 das von ihm geführte Fahrzeug oder der von ihm geführte Verband die zugelassenen Höchstabmessungen und Abladetiefen nach § 18.02 nicht überschreitet,</w:t>
      </w:r>
    </w:p>
    <w:p>
      <w:pPr>
        <w:ind w:left="780"/>
      </w:pPr>
      <w:r>
        <w:t xml:space="preserve">b) die Vorschriften über die Zusammenstellung der Verbände nach § 18.03 einzuhalten oder sicherzustellen, dass diese eingehalten werden, und</w:t>
      </w:r>
    </w:p>
    <w:p>
      <w:pPr>
        <w:ind w:left="780"/>
      </w:pPr>
      <w:r>
        <w:t xml:space="preserve">c) das in § 18.27 Satz 1 vorgesehene Verbot, die dort angegebenen Binnenschifffahrtsstraße zu befahren, zu beachten oder sicherzustellen, dass dieses beachtet wird.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 das Fahrzeug oder der Verband die zugelassenen Höchstabmessungen und Abladetiefen nach § 18.02 nicht überschreitet.</w:t>
      </w:r>
    </w:p>
    <w:p>
      <w:r>
        <w:rPr>
          <w:color w:val="555555"/>
          <w:sz w:val="17"/>
        </w:rPr>
        <w:t xml:space="preserve">Zitiervorschlag: § 18.29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