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18.27 BinSchStrO 2012 — Verkehrsbeschränkungen der Schifffahrt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22.10.2022 (konsolidierte Textfassung, kein amtliches Inkrafttretensdatum)</w:t>
      </w:r>
    </w:p>
    <w:p>
      <w:r>
        <w:t xml:space="preserve">Das Befahren der Ilmenau von der Nordwestkante der Brausebrücke an der Abtsmühle in Lüneburg (km 0,00) bis Warburg (km 0,50) ist verboten. Die zuständige Behörde kann im Einzelfall Ausnahmen zulassen.</w:t>
      </w:r>
    </w:p>
    <w:p>
      <w:r>
        <w:rPr>
          <w:color w:val="555555"/>
          <w:sz w:val="17"/>
        </w:rPr>
        <w:t xml:space="preserve">Zitiervorschlag: § 18.27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https://recht.nulegal.eu/gesetze/BinSchStrO%202012/18.27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18.27 BinSchStrO 2012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