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18.03 BinSchStrO 2012 — Zusammenstellung der Verbände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In einen Schleppverband dürfen in der Bergfahrt nur ein Anhang, in der Talfahrt höchstens zwei Anhänge eingestellt werden.</w:t>
      </w:r>
    </w:p>
    <w:p>
      <w:pPr>
        <w:ind w:left="420"/>
      </w:pPr>
      <w:r>
        <w:t xml:space="preserve">2. Fahrzeuge, ausgenommen Kleinfahrzeuge, dürfen nur zum Abschleppen eines beschädigten Fahrzeugs, zu einem kurzen Verholen oder mit Erlaubnis der zuständigen Behörde gekuppelt fahren.</w:t>
      </w:r>
    </w:p>
    <w:p>
      <w:r>
        <w:rPr>
          <w:color w:val="555555"/>
          <w:sz w:val="17"/>
        </w:rPr>
        <w:t xml:space="preserve">Zitiervorschlag: § 18.03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https://recht.nulegal.eu/gesetze/BinSchStrO%202012/18.03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