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17.29 BinSchStrO 2012 — Verhaltenspflichten des Schiffsführers, der Besatzung an Bord, des Eigentümers und des Ausrüsters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15.10.2024 (konsolidierte Textfassung, kein amtliches Inkrafttretensdatum)</w:t>
      </w:r>
    </w:p>
    <w:p>
      <w:pPr>
        <w:ind w:left="420"/>
      </w:pPr>
      <w:r>
        <w:t xml:space="preserve">1. Der Schiffsführer und die nach § 1.03 Nummer 3 für Kurs und Geschwindigkeit verantwortliche Person haben jeweils</w:t>
      </w:r>
    </w:p>
    <w:p>
      <w:pPr>
        <w:ind w:left="780"/>
      </w:pPr>
      <w:r>
        <w:t xml:space="preserve">a) sicherzustellen, dass das Fahrzeug oder der Verband die geforderte Mindestgeschwindigkeit nach § 17.04 nicht unterschreitet und</w:t>
      </w:r>
    </w:p>
    <w:p>
      <w:pPr>
        <w:ind w:left="780"/>
      </w:pPr>
      <w:r>
        <w:t xml:space="preserve">b) die Vorschriften über</w:t>
      </w:r>
    </w:p>
    <w:p>
      <w:pPr>
        <w:ind w:left="1140"/>
      </w:pPr>
      <w:r>
        <w:t xml:space="preserve">aa) die Schifffahrt bei Hochwasser nach § 17.11 Nummer 1 und ein nach dieser Vorschrift angeordnetes Verbot der Schifffahrt,</w:t>
      </w:r>
    </w:p>
    <w:p>
      <w:pPr>
        <w:ind w:left="1140"/>
      </w:pPr>
      <w:r>
        <w:t xml:space="preserve">bb) das Verhalten bei Eis nach § 17.12,</w:t>
      </w:r>
    </w:p>
    <w:p>
      <w:pPr>
        <w:ind w:left="1140"/>
      </w:pPr>
      <w:r>
        <w:t xml:space="preserve">cc) das Verhalten beim Durchfahren der Schleusengruppe Geesthacht nach § 17.18 Nummer 6 Satz 1 und 2,</w:t>
      </w:r>
    </w:p>
    <w:p>
      <w:pPr>
        <w:ind w:left="1140"/>
      </w:pPr>
      <w:r>
        <w:t xml:space="preserve">dd) die Vorschrift über die Einfahrt in und die Ausfahrt aus dem Rothenseer Verbindungskanal nach § 17.22 Nummer 4 und</w:t>
      </w:r>
    </w:p>
    <w:p>
      <w:pPr>
        <w:ind w:left="1140"/>
      </w:pPr>
      <w:r>
        <w:t xml:space="preserve">ee) den Sprechfunk auf einer Seilfähre nach § 17.23 in Verbindung mit § 4.05 Nummer 3</w:t>
      </w:r>
    </w:p>
    <w:p>
      <w:pPr>
        <w:ind w:left="780"/>
      </w:pPr>
      <w:r>
        <w:t xml:space="preserve">einzuhalten oder sicherzustellen, dass diese Vorschriften oder ein angeordnetes Verbot der Schifffahrt eingehalten werden.</w:t>
      </w:r>
    </w:p>
    <w:p>
      <w:pPr>
        <w:ind w:left="420"/>
      </w:pPr>
      <w:r>
        <w:t xml:space="preserve">2. Der Schiffsführer hat</w:t>
      </w:r>
    </w:p>
    <w:p>
      <w:pPr>
        <w:ind w:left="780"/>
      </w:pPr>
      <w:r>
        <w:t xml:space="preserve">a) sicherzustellen, dass</w:t>
      </w:r>
    </w:p>
    <w:p>
      <w:pPr>
        <w:ind w:left="1140"/>
      </w:pPr>
      <w:r>
        <w:t xml:space="preserve">aa) das von ihm geführte Fahrzeug, das von ihm geführte Fahrzeug mit Seitenradantrieb, das von ihm geführte schleppende Fahrzeug oder der von ihm geführte Verband die zugelassenen Höchstabmessungen nach § 17.02 Nummer 1 und 2 und die zugelassene Abladetiefe nach § 17.02 Nummer 4 Satz 4 nicht überschreitet und</w:t>
      </w:r>
    </w:p>
    <w:p>
      <w:pPr>
        <w:ind w:left="1140"/>
      </w:pPr>
      <w:r>
        <w:t xml:space="preserve">bb) auf dem von ihm geführten Verband in dem in § 17.02 Nummer 2.1.3 und 2.2.7 jeweils genannten Fall die oder der dort jeweils angegebene Ausrüstung oder Vorspann vorhanden ist,</w:t>
      </w:r>
    </w:p>
    <w:p>
      <w:pPr>
        <w:ind w:left="780"/>
      </w:pPr>
      <w:r>
        <w:t xml:space="preserve">b) die Vorschriften über</w:t>
      </w:r>
    </w:p>
    <w:p>
      <w:pPr>
        <w:ind w:left="1140"/>
      </w:pPr>
      <w:r>
        <w:t xml:space="preserve">aa) die Zusammenstellung der Verbände nach § 17.03 Nummer 1 Satz 1 bis 3, Nummer 2 Satz 2 und Nummer 4 Satz 2 und</w:t>
      </w:r>
    </w:p>
    <w:p>
      <w:pPr>
        <w:ind w:left="1140"/>
      </w:pPr>
      <w:r>
        <w:t xml:space="preserve">bb) das Verhalten gegenüber einer Seilfähre nach § 17.22 Nummer 1 und 2, auch in Verbindung mit Nummer 3,</w:t>
      </w:r>
    </w:p>
    <w:p>
      <w:pPr>
        <w:ind w:left="780"/>
      </w:pPr>
      <w:r>
        <w:t xml:space="preserve">einzuhalten oder sicherzustellen, dass diese eingehalten werden, und</w:t>
      </w:r>
    </w:p>
    <w:p>
      <w:pPr>
        <w:ind w:left="780"/>
      </w:pPr>
      <w:r>
        <w:t xml:space="preserve">c) das in § 17.18 Nummer 2 Satz 3 vorgesehene Verbot der Einfahrt in die Stromstrecke Magdeburg zu beachten oder sicherzustellen, dass dieses beachtet wird.</w:t>
      </w:r>
    </w:p>
    <w:p>
      <w:pPr>
        <w:ind w:left="420"/>
      </w:pPr>
      <w:r>
        <w:t xml:space="preserve">3. Der Eigentümer und der Ausrüster dürfen jeweils die Inbetriebnahme eines Fahrzeugs, eines Fahrzeugs mit Seitenradantrieb, eines schleppenden Fahrzeugs oder eines Verbandes nur anordnen oder zulassen, wenn</w:t>
      </w:r>
    </w:p>
    <w:p>
      <w:pPr>
        <w:ind w:left="780"/>
      </w:pPr>
      <w:r>
        <w:t xml:space="preserve">a) das Fahrzeug, das Fahrzeug mit Seitenradantrieb, das schleppende Fahrzeug oder der Verband die zugelassenen Höchstabmessungen nach § 17.02 Nummer 1 und 2 und die zugelassene Abladetiefe nach § 17.02 Nummer 4 Satz 4 nicht überschreitet und</w:t>
      </w:r>
    </w:p>
    <w:p>
      <w:pPr>
        <w:ind w:left="780"/>
      </w:pPr>
      <w:r>
        <w:t xml:space="preserve">b) auf dem Verband in dem in § 17.02 Nummer 2.1.3 und 2.2.7 jeweils genannten Fall die oder der dort jeweils angegebene Ausrüstung oder Vorspann vorhanden ist.</w:t>
      </w:r>
    </w:p>
    <w:p>
      <w:r>
        <w:rPr>
          <w:color w:val="555555"/>
          <w:sz w:val="17"/>
        </w:rPr>
        <w:t xml:space="preserve">Zitiervorschlag: § 17.29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https://recht.nulegal.eu/gesetze/BinSchStrO%202012/17.29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17.29 BinSchStrO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