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17.23 BinSchStrO 2012 — Regelungen zum Sprechfunk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§ 4.05 Nummer 3 gilt auch für eine Seilfähre.</w:t>
      </w:r>
    </w:p>
    <w:p>
      <w:r>
        <w:rPr>
          <w:color w:val="555555"/>
          <w:sz w:val="17"/>
        </w:rPr>
        <w:t xml:space="preserve">Zitiervorschlag: § 17.23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https://recht.nulegal.eu/gesetze/BinSchStrO%202012/17.23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