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Erreicht oder überschreitet der Wasserstand den Höchsten Schifffahrtswasserstand (HSW) – Hochwassermarke – an dem Richtpegel für den unter Nummer 2 jeweils aufgeführten Streckenabschnitt, ist mit der Einstellung der Schifffahrt zu rechnen und die zuständige Behörde kann die Schifffahrt innerhalb des Streckenabschnitts ganz oder teilweise verbieten.</w:t>
      </w:r>
    </w:p>
    <w:p>
      <w:pPr>
        <w:ind w:left="420"/>
      </w:pPr>
      <w:r>
        <w:t xml:space="preserve">2. Die in Nummer 1 genannte Hochwassermarke wird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Strecke    Richtpegel    Hochwassermarke</w:t>
      </w:r>
    </w:p>
    <w:p>
      <w:r>
        <w:rPr>
          <w:rFonts w:ascii="Courier New" w:hAnsi="Courier New"/>
          <w:sz w:val="17"/>
        </w:rPr>
        <w:t xml:space="preserve">Deutsch-tschechische Grenze (km 0,00) – Hafen Riesa (km 109,40)    Dresden    500 cm</w:t>
      </w:r>
    </w:p>
    <w:p>
      <w:r>
        <w:rPr>
          <w:rFonts w:ascii="Courier New" w:hAnsi="Courier New"/>
          <w:sz w:val="17"/>
        </w:rPr>
        <w:t xml:space="preserve">Hafen Riesa (km 109,40) – Elstermündung (km 198,60)    Torgau    620 cm</w:t>
      </w:r>
    </w:p>
    <w:p>
      <w:r>
        <w:rPr>
          <w:rFonts w:ascii="Courier New" w:hAnsi="Courier New"/>
          <w:sz w:val="17"/>
        </w:rPr>
        <w:t xml:space="preserve">Elstermündung (km 198,60) – Saalemündung (km 290,70)    Lutherstadt Wittenberg    550 cm</w:t>
      </w:r>
    </w:p>
    <w:p>
      <w:r>
        <w:rPr>
          <w:rFonts w:ascii="Courier New" w:hAnsi="Courier New"/>
          <w:sz w:val="17"/>
        </w:rPr>
        <w:t xml:space="preserve">Saalemündung (km 290,70) – Einfahrt Hafen Frohse (km 314,50)    Barby    570 cm</w:t>
      </w:r>
    </w:p>
    <w:p>
      <w:r>
        <w:rPr>
          <w:rFonts w:ascii="Courier New" w:hAnsi="Courier New"/>
          <w:sz w:val="17"/>
        </w:rPr>
        <w:t xml:space="preserve">Einfahrt Hafen Frohse (km 314,50) – Einfahrt Industriehafen Magdeburg (km 332,80)    Magdeburg-Strombrücke    550 cm</w:t>
      </w:r>
    </w:p>
    <w:p>
      <w:r>
        <w:rPr>
          <w:rFonts w:ascii="Courier New" w:hAnsi="Courier New"/>
          <w:sz w:val="17"/>
        </w:rPr>
        <w:t xml:space="preserve">Einfahrt Industriehafen Magdeburg (km 332,80) – Einmündung Niegripper Verbindungskanal (km 343,80)    Rothensee    745 cm</w:t>
      </w:r>
    </w:p>
    <w:p>
      <w:r>
        <w:rPr>
          <w:rFonts w:ascii="Courier New" w:hAnsi="Courier New"/>
          <w:sz w:val="17"/>
        </w:rPr>
        <w:t xml:space="preserve">Einmündung Niegripper Verbindungskanal (km 343,80) – Einmündung Untere Havel-Wasserstraße (km 422,80)    Tangermünde    620 cm</w:t>
      </w:r>
    </w:p>
    <w:p>
      <w:r>
        <w:rPr>
          <w:rFonts w:ascii="Courier New" w:hAnsi="Courier New"/>
          <w:sz w:val="17"/>
        </w:rPr>
        <w:t xml:space="preserve">Einmündung Untere Havel-Wasserstraße (km 422,80) – Mündung Alte Löcknitz (km 502,25)    Wittenberge    610 cm</w:t>
      </w:r>
    </w:p>
    <w:p>
      <w:r>
        <w:rPr>
          <w:rFonts w:ascii="Courier New" w:hAnsi="Courier New"/>
          <w:sz w:val="17"/>
        </w:rPr>
        <w:t xml:space="preserve">Mündung Alte Löcknitz (km 502,25) – Einfahrt Hafen Bleckede (km 550,00)    Dömitz    580 cm</w:t>
      </w:r>
    </w:p>
    <w:p>
      <w:r>
        <w:rPr>
          <w:rFonts w:ascii="Courier New" w:hAnsi="Courier New"/>
          <w:sz w:val="17"/>
        </w:rPr>
        <w:t xml:space="preserve">Einfahrt Hafen Bleckede (km 550,00) – Einmündung Elbe-Lübeck-Kanal (km 569,20)    Hohnstorf    820 cm.</w:t>
      </w:r>
    </w:p>
    <w:p>
      <w:r>
        <w:rPr>
          <w:color w:val="555555"/>
          <w:sz w:val="17"/>
        </w:rPr>
        <w:t xml:space="preserve">Zitiervorschlag: § 17.11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