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16.29 BinSchStrO 2012 — Verhaltenspflichten des Schiffsführers, der Besatzung an Bord, des Eigentümers und des Ausrüsters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21.10.2025 (konsolidierte Textfassung, kein amtliches Inkrafttretensdatum)</w:t>
      </w:r>
    </w:p>
    <w:p>
      <w:pPr>
        <w:ind w:left="420"/>
      </w:pPr>
      <w:r>
        <w:t xml:space="preserve">1. Der Schiffsführer und die nach § 1.03 Nummer 3 für Kurs und Geschwindigkeit verantwortliche Person haben jeweils</w:t>
      </w:r>
    </w:p>
    <w:p>
      <w:pPr>
        <w:ind w:left="780"/>
      </w:pPr>
      <w:r>
        <w:t xml:space="preserve">a) sicherzustellen, dass</w:t>
      </w:r>
    </w:p>
    <w:p>
      <w:pPr>
        <w:ind w:left="1140"/>
      </w:pPr>
      <w:r>
        <w:t xml:space="preserve">aa) das Fahrzeug oder der Verband die zugelassene Höchstgeschwindigkeit nach § 16.04 Nummer 1, 2 und 3, jeweils auch in Verbindung mit Nummer 4, nicht überschreitet und</w:t>
      </w:r>
    </w:p>
    <w:p>
      <w:pPr>
        <w:ind w:left="1140"/>
      </w:pPr>
      <w:r>
        <w:t xml:space="preserve">bb) auf dem Fahrzeug oder Verband</w:t>
      </w:r>
    </w:p>
    <w:p>
      <w:pPr>
        <w:ind w:left="1500"/>
      </w:pPr>
      <w:r>
        <w:t xml:space="preserve">aaa) bei Nacht während der Fahrt die Bezeichnung nach § 16.21 Nummer 1 Buchstabe b und</w:t>
      </w:r>
    </w:p>
    <w:p>
      <w:pPr>
        <w:ind w:left="1500"/>
      </w:pPr>
      <w:r>
        <w:t xml:space="preserve">bbb) bei Tag während der Fahrt die Bezeichnung nach § 16.21 Nummer 1 Buchstabe a, auch in Verbindung mit Nummer 2,</w:t>
      </w:r>
    </w:p>
    <w:p>
      <w:pPr>
        <w:ind w:left="1140"/>
      </w:pPr>
      <w:r>
        <w:t xml:space="preserve">geführt wird und</w:t>
      </w:r>
    </w:p>
    <w:p>
      <w:pPr>
        <w:ind w:left="780"/>
      </w:pPr>
      <w:r>
        <w:t xml:space="preserve">b) die Vorschriften über</w:t>
      </w:r>
    </w:p>
    <w:p>
      <w:pPr>
        <w:ind w:left="1140"/>
      </w:pPr>
      <w:r>
        <w:t xml:space="preserve">aa) das Verhalten beim Begegnen nach § 16.06 Satz 1,</w:t>
      </w:r>
    </w:p>
    <w:p>
      <w:pPr>
        <w:ind w:left="1140"/>
      </w:pPr>
      <w:r>
        <w:t xml:space="preserve">bb) das Verbot zu überholen nach § 16.07 Nummer 1, auch in Verbindung mit Nummer 2,</w:t>
      </w:r>
    </w:p>
    <w:p>
      <w:pPr>
        <w:ind w:left="1140"/>
      </w:pPr>
      <w:r>
        <w:t xml:space="preserve">cc) die Schifffahrt bei Hochwasser nach § 16.11 Nummer 1 und 2,</w:t>
      </w:r>
    </w:p>
    <w:p>
      <w:pPr>
        <w:ind w:left="1140"/>
      </w:pPr>
      <w:r>
        <w:t xml:space="preserve">dd) das Verhalten bei Eis nach § 16.12 und</w:t>
      </w:r>
    </w:p>
    <w:p>
      <w:pPr>
        <w:ind w:left="1140"/>
      </w:pPr>
      <w:r>
        <w:t xml:space="preserve">ee) die Vorfahrt bei der Einfahrt in den Verbindungskanal Süd zur Weser und bei der Einfahrt in den Verbindungskanal Nord zur Weser nach § 16.22 Satz 1</w:t>
      </w:r>
    </w:p>
    <w:p>
      <w:pPr>
        <w:ind w:left="780"/>
      </w:pPr>
      <w:r>
        <w:t xml:space="preserve">einzuhalten oder sicherzustellen, dass diese eingehalten werden.</w:t>
      </w:r>
    </w:p>
    <w:p>
      <w:pPr>
        <w:ind w:left="420"/>
      </w:pPr>
      <w:r>
        <w:t xml:space="preserve">2. Der Schiffsführer hat</w:t>
      </w:r>
    </w:p>
    <w:p>
      <w:pPr>
        <w:ind w:left="780"/>
      </w:pPr>
      <w:r>
        <w:t xml:space="preserve">a) sicherzustellen, dass das von ihm geführte Fahrzeug oder der von ihm geführte Verband</w:t>
      </w:r>
    </w:p>
    <w:p>
      <w:pPr>
        <w:ind w:left="1140"/>
      </w:pPr>
      <w:r>
        <w:t xml:space="preserve">aa) die zugelassenen Höchstabmessungen nach § 16.02 und die zugelassenen Abladetiefen nach § 16.02 Nummer 3 und 5 und</w:t>
      </w:r>
    </w:p>
    <w:p>
      <w:pPr>
        <w:ind w:left="1140"/>
      </w:pPr>
      <w:r>
        <w:t xml:space="preserve">bb) die zugelassenen Abladetiefen nach § 16.02 Nummer 1, 4, 6 und 7</w:t>
      </w:r>
    </w:p>
    <w:p>
      <w:pPr>
        <w:ind w:left="780"/>
      </w:pPr>
      <w:r>
        <w:t xml:space="preserve">nicht überschreitet,</w:t>
      </w:r>
    </w:p>
    <w:p>
      <w:pPr>
        <w:ind w:left="780"/>
      </w:pPr>
      <w:r>
        <w:t xml:space="preserve">b) die Vorschriften über</w:t>
      </w:r>
    </w:p>
    <w:p>
      <w:pPr>
        <w:ind w:left="1140"/>
      </w:pPr>
      <w:r>
        <w:t xml:space="preserve">aa) die Zusammenstellung der Verbände nach § 16.03 und</w:t>
      </w:r>
    </w:p>
    <w:p>
      <w:pPr>
        <w:ind w:left="1140"/>
      </w:pPr>
      <w:r>
        <w:t xml:space="preserve">bb) die Meldepflicht nach § 16.15 Nummer 1 Satz 1, Nummer 2 Satz 2 bis 4 und Nummer 3 und 4</w:t>
      </w:r>
    </w:p>
    <w:p>
      <w:pPr>
        <w:ind w:left="780"/>
      </w:pPr>
      <w:r>
        <w:t xml:space="preserve">einzuhalten oder sicherzustellen, dass diese eingehalten werden, und</w:t>
      </w:r>
    </w:p>
    <w:p>
      <w:pPr>
        <w:ind w:left="780"/>
      </w:pPr>
      <w:r>
        <w:t xml:space="preserve">c) das in § 16.27 Satz 1 vorgesehene Verbot, die dort angegebenen Binnenschifffahrtsstraßen zu befahren, zu beachten oder sicherzustellen, dass dieses beachtet wird.</w:t>
      </w:r>
    </w:p>
    <w:p>
      <w:pPr>
        <w:ind w:left="420"/>
      </w:pPr>
      <w:r>
        <w:t xml:space="preserve">3. Der Eigentümer und der Ausrüster dürfen jeweils die Inbetriebnahme eines Fahrzeugs oder Verbandes nur anordnen oder zulassen, wenn das Fahrzeug oder der Verband</w:t>
      </w:r>
    </w:p>
    <w:p>
      <w:pPr>
        <w:ind w:left="780"/>
      </w:pPr>
      <w:r>
        <w:t xml:space="preserve">a) die zugelassenen Höchstabmessungen nach § 16.02 und die zugelassenen Abladetiefen nach § 16.02 Nummer 3 und 5 und</w:t>
      </w:r>
    </w:p>
    <w:p>
      <w:pPr>
        <w:ind w:left="780"/>
      </w:pPr>
      <w:r>
        <w:t xml:space="preserve">b) die zugelassenen Abladetiefen nach § 16.02 Nummer 1, 4, 6 und 7</w:t>
      </w:r>
    </w:p>
    <w:p>
      <w:pPr>
        <w:ind w:left="420"/>
      </w:pPr>
      <w:r>
        <w:t xml:space="preserve">nicht überschreitet.</w:t>
      </w:r>
    </w:p>
    <w:p>
      <w:r>
        <w:rPr>
          <w:color w:val="555555"/>
          <w:sz w:val="17"/>
        </w:rPr>
        <w:t xml:space="preserve">Zitiervorschlag: § 16.29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https://recht.nulegal.eu/gesetze/BinSchStrO%202012/16.29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