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16.23 BinSchStrO 2012 — Regelungen zum Sprechfunk</w:t>
      </w:r>
    </w:p>
    <w:p>
      <w:r>
        <w:rPr>
          <w:color w:val="555555"/>
          <w:sz w:val="18"/>
        </w:rPr>
        <w:t xml:space="preserve">Binnenschifffahrtsstraßen-Ordnung</w:t>
      </w:r>
    </w:p>
    <w:p>
      <w:r>
        <w:rPr>
          <w:color w:val="555555"/>
          <w:sz w:val="18"/>
        </w:rPr>
        <w:t xml:space="preserve">Stand: 10.06.2019 (konsolidierte Textfassung, kein amtliches Inkrafttretensdatum)</w:t>
      </w:r>
    </w:p>
    <w:p>
      <w:r>
        <w:t xml:space="preserve">§ 4.05 Nummer 3 gilt nicht für eine Fähre mit Maschinenantrieb auf der Aller von Celle (km 0,25) bis zur Allermündung (km 117,17) und auf der Weser von Hann. Münden (km 0,00) bis zur Abzweigung Verbindungskanal Süd zur Weser (km 204,47).</w:t>
      </w:r>
    </w:p>
    <w:p>
      <w:r>
        <w:rPr>
          <w:color w:val="555555"/>
          <w:sz w:val="17"/>
        </w:rPr>
        <w:t xml:space="preserve">Zitiervorschlag: § 16.23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https://recht.nulegal.eu/gesetze/BinSchStrO%202012/16.23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