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16.15 BinSchStrO 2012 — Meldepflicht</w:t>
      </w:r>
    </w:p>
    <w:p>
      <w:r>
        <w:rPr>
          <w:color w:val="555555"/>
          <w:sz w:val="18"/>
        </w:rPr>
        <w:t xml:space="preserve">Binnenschifffahrtsstraßen-Ordnung</w:t>
      </w:r>
    </w:p>
    <w:p>
      <w:r>
        <w:rPr>
          <w:color w:val="555555"/>
          <w:sz w:val="18"/>
        </w:rPr>
        <w:t xml:space="preserve">Stand: 21.10.2025 (konsolidierte Textfassung, kein amtliches Inkrafttretensdatum)</w:t>
      </w:r>
    </w:p>
    <w:p>
      <w:pPr>
        <w:ind w:left="420"/>
      </w:pPr>
      <w:r>
        <w:t xml:space="preserve">1. Der Schiffsführer eines Fahrzeugs oder eines Verbandes, das oder der dem ADN unterliegt, sowie der Schiffsführer eines Tankschiffs, eines Kabinenschiffs, eines Seeschiffs, eines Fahrzeugs oder eines Verbandes mit jeweils einer Länge von mehr als 85,00 m oder eines Sondertransportes nach § 1.21 muss sich vor Einfahrt in die Weserstrecke zwischen unterhalb der Schleuse Bremen (km 362,50) und der Eisenbahnbrücke in Bremen (UWe-km 1,38) (obere Grenze des Geltungsbereichs der Seeschifffahrtsstraßen-Ordnung/untere Grenze des Geltungsbereichs der Binnenschifffahrtsstraßen-Ordnung) auf dem im Handbuch Binnenschifffahrtsfunk (§ 1.10 Nummer 1 Buchstabe d Doppelbuchstabe ee) bekannt gegebenen Kanal bei der Funkstelle „Verkehrszentrale Bremen (Ruf Bremen Weser Traffic)“ melden und folgende Angaben machen:</w:t>
      </w:r>
    </w:p>
    <w:p>
      <w:pPr>
        <w:ind w:left="780"/>
      </w:pPr>
      <w:r>
        <w:t xml:space="preserve">a) Schiffsgattung;</w:t>
      </w:r>
    </w:p>
    <w:p>
      <w:pPr>
        <w:ind w:left="780"/>
      </w:pPr>
      <w:r>
        <w:t xml:space="preserve">b) Schiffsname und Funkrufzeichen;</w:t>
      </w:r>
    </w:p>
    <w:p>
      <w:pPr>
        <w:ind w:left="780"/>
      </w:pPr>
      <w:r>
        <w:t xml:space="preserve">c) Standort, Fahrtrichtung;</w:t>
      </w:r>
    </w:p>
    <w:p>
      <w:pPr>
        <w:ind w:left="780"/>
      </w:pPr>
      <w:r>
        <w:t xml:space="preserve">d) Einheitliche europäische Schiffsnummer (ENI), bei Seeschiffen IMO-Schiffsidentifikationsnummer und Unterscheidungssignal;</w:t>
      </w:r>
    </w:p>
    <w:p>
      <w:pPr>
        <w:ind w:left="780"/>
      </w:pPr>
      <w:r>
        <w:t xml:space="preserve">e) Tragfähigkeit;</w:t>
      </w:r>
    </w:p>
    <w:p>
      <w:pPr>
        <w:ind w:left="780"/>
      </w:pPr>
      <w:r>
        <w:t xml:space="preserve">f) Länge und Breite des Fahrzeugs;</w:t>
      </w:r>
    </w:p>
    <w:p>
      <w:pPr>
        <w:ind w:left="780"/>
      </w:pPr>
      <w:r>
        <w:t xml:space="preserve">g) Art, Länge und Breite des Verbandes;</w:t>
      </w:r>
    </w:p>
    <w:p>
      <w:pPr>
        <w:ind w:left="780"/>
      </w:pPr>
      <w:r>
        <w:t xml:space="preserve">h) Tiefgang;</w:t>
      </w:r>
    </w:p>
    <w:p>
      <w:pPr>
        <w:ind w:left="780"/>
      </w:pPr>
      <w:r>
        <w:t xml:space="preserve">i) Fahrtroute;</w:t>
      </w:r>
    </w:p>
    <w:p>
      <w:pPr>
        <w:ind w:left="780"/>
      </w:pPr>
      <w:r>
        <w:t xml:space="preserve">j) Beladehafen;</w:t>
      </w:r>
    </w:p>
    <w:p>
      <w:pPr>
        <w:ind w:left="780"/>
      </w:pPr>
      <w:r>
        <w:t xml:space="preserve">k) Entladehafen;</w:t>
      </w:r>
    </w:p>
    <w:p>
      <w:pPr>
        <w:ind w:left="780"/>
      </w:pPr>
      <w:r>
        <w:t xml:space="preserve">l) bei gefährlichen Gütern nach ADN:</w:t>
      </w:r>
    </w:p>
    <w:p>
      <w:pPr>
        <w:ind w:left="1140"/>
      </w:pPr>
      <w:r>
        <w:t xml:space="preserve">aa) die UN-Nummer oder Stoffnummer,</w:t>
      </w:r>
    </w:p>
    <w:p>
      <w:pPr>
        <w:ind w:left="1140"/>
      </w:pPr>
      <w:r>
        <w:t xml:space="preserve">bb) die offizielle Benennung für die Beförderung, sofern zutreffend ergänzt durch die technische Bezeichnung,</w:t>
      </w:r>
    </w:p>
    <w:p>
      <w:pPr>
        <w:ind w:left="1140"/>
      </w:pPr>
      <w:r>
        <w:t xml:space="preserve">cc) die Klasse, den Klassifizierungscode und gegebenenfalls die Verpackungsgruppe,</w:t>
      </w:r>
    </w:p>
    <w:p>
      <w:pPr>
        <w:ind w:left="1140"/>
      </w:pPr>
      <w:r>
        <w:t xml:space="preserve">dd) die Gesamtmenge der gefährlichen Güter, für die diese Angaben gelten;</w:t>
      </w:r>
    </w:p>
    <w:p>
      <w:pPr>
        <w:ind w:left="780"/>
      </w:pPr>
      <w:r>
        <w:t xml:space="preserve">l1) bei anderen Gütern als Gefahrgütern: die Art der Ladung (Stoffname, Stoffmenge);</w:t>
      </w:r>
    </w:p>
    <w:p>
      <w:pPr>
        <w:ind w:left="780"/>
      </w:pPr>
      <w:r>
        <w:t xml:space="preserve">m) Anzahl der geführten blauen Lichter/blauen Kegel;</w:t>
      </w:r>
    </w:p>
    <w:p>
      <w:pPr>
        <w:ind w:left="780"/>
      </w:pPr>
      <w:r>
        <w:t xml:space="preserve">n) Anzahl der an Bord befindlichen Personen.</w:t>
      </w:r>
    </w:p>
    <w:p>
      <w:pPr>
        <w:ind w:left="420"/>
      </w:pPr>
      <w:r>
        <w:t xml:space="preserve">Die Begrenzung der meldepflichtigen Strecke wird durch die Tafelzeichen B.11 (Anlage 7) mit einem Zusatzschild „Meldepflicht“ kenntlich gemacht.</w:t>
      </w:r>
    </w:p>
    <w:p>
      <w:pPr>
        <w:ind w:left="420"/>
      </w:pPr>
      <w:r>
        <w:t xml:space="preserve">2. Die unter Nummer 1 Satz 1, ausgenommen Buchstabe c, h und n, genannten Angaben können auch von einer anderen Stelle oder Person rechtzeitig vor der Einfahrt des Fahrzeugs, Verbandes oder Sondertransportes nach § 1.21 in die meldepflichtige Strecke schriftlich, telefonisch oder auf elektronischem Wege der Funkstelle „Bremen Verkehrszentrale“ mitgeteilt werden. Für einen Transport mit einer Ladung von mehr als zwei Gefahrgütern muss die Meldung schriftlich oder elektronisch abgegeben werden. In jedem Fall muss der Schiffsführer der Funkstelle „Bremen Verkehrszentrale“ melden, wenn er mit dem von ihm geführten Fahrzeug, Verband oder Sondertransport nach § 1.21 in die meldepflichtige Strecke einfährt und diese wieder verlässt. Sofern sich der Schiffsführer oder eine andere Stelle oder Person auf elektronischem Wege meldet, muss die Meldung gemäß den Bestimmungen der Durchführungsverordnung (EU) 2019/1744 erfolgen.</w:t>
      </w:r>
    </w:p>
    <w:p>
      <w:pPr>
        <w:ind w:left="420"/>
      </w:pPr>
      <w:r>
        <w:t xml:space="preserve">3. Unterbricht ein Fahrzeug, Verband oder Sondertransport nach § 1.21 die Fahrt innerhalb der meldepflichtigen Strecke für mehr als zwei Stunden, muss der Schiffsführer Beginn und Ende der Unterbrechung der Funkstelle „Bremen Verkehrszentrale“ melden.</w:t>
      </w:r>
    </w:p>
    <w:p>
      <w:pPr>
        <w:ind w:left="420"/>
      </w:pPr>
      <w:r>
        <w:t xml:space="preserve">4. Ändern sich die Angaben nach Nummer 1 während der Fahrt in der meldepflichtigen Strecke, muss der Schiffsführer dies der Funkstelle „Bremen Verkehrszentrale“ unverzüglich mitteilen.</w:t>
      </w:r>
    </w:p>
    <w:p>
      <w:r>
        <w:rPr>
          <w:color w:val="555555"/>
          <w:sz w:val="17"/>
        </w:rPr>
        <w:t xml:space="preserve">Zitiervorschlag: § 16.15 BinSchStrO 2012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https://recht.nulegal.eu/gesetze/BinSchStrO%202012/16.15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