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Überholen auf dem Verbindungskanal zur Leine ist verboten.</w:t>
      </w:r>
    </w:p>
    <w:p>
      <w:pPr>
        <w:ind w:left="420"/>
      </w:pPr>
      <w:r>
        <w:t xml:space="preserve">2. Abweichend von Nummer 1 ist bei Tag einem Fahrzeug oder einem Verband das Überholen gestattet, wenn folgende Breiten und Abladetiefen jeweils nicht überschritten werden:</w:t>
      </w:r>
    </w:p>
    <w:p>
      <w:pPr>
        <w:ind w:left="780"/>
      </w:pPr>
      <w:r>
        <w:t xml:space="preserve">aa) 1,70 m bei einer Breite von bis zu 6,25 m;</w:t>
      </w:r>
    </w:p>
    <w:p>
      <w:pPr>
        <w:ind w:left="780"/>
      </w:pPr>
      <w:r>
        <w:t xml:space="preserve">bb) 1,40 m bei einer Breite von bis zu 8,20 m;</w:t>
      </w:r>
    </w:p>
    <w:p>
      <w:pPr>
        <w:ind w:left="780"/>
      </w:pPr>
      <w:r>
        <w:t xml:space="preserve">cc) 1,30 m bei einer Breite von bis zu 9,50 m.</w:t>
      </w:r>
    </w:p>
    <w:p>
      <w:pPr>
        <w:ind w:left="420"/>
      </w:pPr>
      <w:r>
        <w:t xml:space="preserve">3. Ein Kleinfahrzeug darf abweichend von Nummer 1 überholen und überholt werden.</w:t>
      </w:r>
    </w:p>
    <w:p>
      <w:r>
        <w:rPr>
          <w:color w:val="555555"/>
          <w:sz w:val="17"/>
        </w:rPr>
        <w:t xml:space="preserve">Zitiervorschlag: § 16.07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