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15.30 BinSchStrO 2012 — Schließung des Sperrtors bei Artlenburg (Elbe-Seitenkanal)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Sperrtor bei Artlenburg wird geschlossen, wenn der Wasserstand der Elbe am Pegel Hohnstorf 840 cm erreicht oder überschritten hat.</w:t>
      </w:r>
    </w:p>
    <w:p>
      <w:r>
        <w:rPr>
          <w:color w:val="555555"/>
          <w:sz w:val="17"/>
        </w:rPr>
        <w:t xml:space="preserve">Zitiervorschlag: § 15.30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https://recht.nulegal.eu/gesetze/BinSchStrO%202012/15.30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