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15.29 BinSchStrO 2012 — Verhaltenspflichten des Schiffsführers, der Besatzung an Bord, des Eigentümers und des Ausrüsters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pPr>
        <w:ind w:left="420"/>
      </w:pPr>
      <w:r>
        <w:t xml:space="preserve">1. Der Schiffsführer und die nach § 1.03 Nummer 3 für Kurs und Geschwindigkeit verantwortliche Person haben jeweils</w:t>
      </w:r>
    </w:p>
    <w:p>
      <w:pPr>
        <w:ind w:left="780"/>
      </w:pPr>
      <w:r>
        <w:t xml:space="preserve">a) sicherzustellen, dass</w:t>
      </w:r>
    </w:p>
    <w:p>
      <w:pPr>
        <w:ind w:left="1140"/>
      </w:pPr>
      <w:r>
        <w:t xml:space="preserve">aa) das Fahrzeug oder der Verband die zugelassene Höchstgeschwindigkeit nach § 15.04 Nummer 1 bis 3 und 4 Satz 1, jeweils auch in Verbindung mit Nummer 5, nicht überschreitet und</w:t>
      </w:r>
    </w:p>
    <w:p>
      <w:pPr>
        <w:ind w:left="1140"/>
      </w:pPr>
      <w:r>
        <w:t xml:space="preserve">bb) sein Fahrzeug oder Verband die geforderte Mindestgeschwindigkeit nach § 15.04 Nummer 6 Satz 1, auch in Verbindung mit Satz 2, nicht unterschreitet,</w:t>
      </w:r>
    </w:p>
    <w:p>
      <w:pPr>
        <w:ind w:left="780"/>
      </w:pPr>
      <w:r>
        <w:t xml:space="preserve">b) die Vorschriften über</w:t>
      </w:r>
    </w:p>
    <w:p>
      <w:pPr>
        <w:ind w:left="1140"/>
      </w:pPr>
      <w:r>
        <w:t xml:space="preserve">aa) das Verhalten beim Begegnen nach § 15.06 Nummer 1 Satz 1, Nummer 2 Satz 2, Nummer 3 bis 9, Nummer 10 Satz 1 bis 3 und Nummer 11 und 12,</w:t>
      </w:r>
    </w:p>
    <w:p>
      <w:pPr>
        <w:ind w:left="1140"/>
      </w:pPr>
      <w:r>
        <w:t xml:space="preserve">bb) das Verbot zu überholen nach § 15.07 Nummer 1, auch in Verbindung mit Nummer 3 und 4,</w:t>
      </w:r>
    </w:p>
    <w:p>
      <w:pPr>
        <w:ind w:left="1140"/>
      </w:pPr>
      <w:r>
        <w:t xml:space="preserve">cc) das Wenden nach § 15.08,</w:t>
      </w:r>
    </w:p>
    <w:p>
      <w:pPr>
        <w:ind w:left="1140"/>
      </w:pPr>
      <w:r>
        <w:t xml:space="preserve">dd) die Durchfahrt und das Verhalten beim Durchfahren des Sperrwerks Leda nach § 15.18 Nummer 4,</w:t>
      </w:r>
    </w:p>
    <w:p>
      <w:pPr>
        <w:ind w:left="1140"/>
      </w:pPr>
      <w:r>
        <w:t xml:space="preserve">ee) das Verhalten beim Durchfahren der Niedrigwasserschleuse Magdeburg nach § 15.18 Nummer 5 Buchstabe a Satz 4 und Buchstabe b Satz 4 und</w:t>
      </w:r>
    </w:p>
    <w:p>
      <w:pPr>
        <w:ind w:left="1140"/>
      </w:pPr>
      <w:r>
        <w:t xml:space="preserve">ff) den Sprechfunk auf einer Seilfähre nach § 15.23 Satz 1 in Verbindung mit § 4.05 Nummer 3</w:t>
      </w:r>
    </w:p>
    <w:p>
      <w:pPr>
        <w:ind w:left="780"/>
      </w:pPr>
      <w:r>
        <w:t xml:space="preserve">einzuhalten oder sicherzustellen, dass diese eingehalten werden, und</w:t>
      </w:r>
    </w:p>
    <w:p>
      <w:pPr>
        <w:ind w:left="780"/>
      </w:pPr>
      <w:r>
        <w:t xml:space="preserve">c) auf dem in einen Schleppverband eingestellten Anhang während der Fahrt bei Nacht die Bezeichnung nach § 15.21 Nummer 2 geführt wird.</w:t>
      </w:r>
    </w:p>
    <w:p>
      <w:pPr>
        <w:ind w:left="420"/>
      </w:pPr>
      <w:r>
        <w:t xml:space="preserve">2. Der Schiffsführer hat</w:t>
      </w:r>
    </w:p>
    <w:p>
      <w:pPr>
        <w:ind w:left="780"/>
      </w:pPr>
      <w:r>
        <w:t xml:space="preserve">a) sicherzustellen, dass</w:t>
      </w:r>
    </w:p>
    <w:p>
      <w:pPr>
        <w:ind w:left="1140"/>
      </w:pPr>
      <w:r>
        <w:t xml:space="preserve">aa) das von ihm geführte Fahrzeug oder der von ihm geführte Verband</w:t>
      </w:r>
    </w:p>
    <w:p>
      <w:pPr>
        <w:ind w:left="1500"/>
      </w:pPr>
      <w:r>
        <w:t xml:space="preserve">aaa) die zugelassenen Höchstabmessungen und Abladetiefen nach § 15.02 Nummer 1.1.1 bis 1.5.2, 1.5.4 bis 1.5.6, 1.9, 1.10, 1.12.1, 1.12.2 bis 1.12.3.2, 1.12.4 bis 1.12.6.2.1, 1.13.1 bis 1.14.2.1 und 1.14.3.2 bis 1.14.4, jeweils auch in Verbindung mit Nummer 2 Satz 1, die zugelassenen Höchstabmessungen und Abladetiefen nach § 15.02 Nummer 1.5.3, 1.8.2 und 1.8.3, jeweils auch in Verbindung mit Nummer 2 Satz 2, die zugelassenen Höchstabmessungen nach § 15.02 Nummer 1.6, 1.11, 1.12.3.3, 1.12.3.4, 1.12.6.2.2, 1.12.6.3, 1.14.2.2, 1.14.3.1 und 1.14.5, jeweils auch in Verbindung mit Nummer 2 Satz 1, und die zugelassenen Höchstabmessungen nach § 15.02 Nummer 1.8.1, auch in Verbindung mit Nummer 2 Satz 2, und</w:t>
      </w:r>
    </w:p>
    <w:p>
      <w:pPr>
        <w:ind w:left="1500"/>
      </w:pPr>
      <w:r>
        <w:t xml:space="preserve">bbb) die zugelassenen Abladetiefen nach § 15.02 Nummer 1.6, 1.8.1, 1.11, 1.12.3.3, 1.12.3.4, 1.12.6.2.2, 1.12.6.3, 1.14.2.2, 1.14.3.1 und 1.14.5</w:t>
      </w:r>
    </w:p>
    <w:p>
      <w:pPr>
        <w:ind w:left="1140"/>
      </w:pPr>
      <w:r>
        <w:t xml:space="preserve">nicht überschreitet,</w:t>
      </w:r>
    </w:p>
    <w:p>
      <w:pPr>
        <w:ind w:left="1140"/>
      </w:pPr>
      <w:r>
        <w:t xml:space="preserve">bb) auf dem von ihm geführten Fahrzeug oder Verband in dem in § 15.02 Nummer 1.1, 1.2, 1.3, 1.4, 1.5 und 1.8.3 jeweils genannten Fall die dort jeweils angegebene Ausrüstung vorhanden ist,</w:t>
      </w:r>
    </w:p>
    <w:p>
      <w:pPr>
        <w:ind w:left="1140"/>
      </w:pPr>
      <w:r>
        <w:t xml:space="preserve">cc) der Stichkanal Osnabrück von SKO-km 0,00 bis zur Schleuse Haste (SKO-km 12,69) gemäß § 15.25 Nummer 1 erst nach Freigabe durch die Schleusenaufsicht an der Schleuse Haste befahren wird,</w:t>
      </w:r>
    </w:p>
    <w:p>
      <w:pPr>
        <w:ind w:left="1140"/>
      </w:pPr>
      <w:r>
        <w:t xml:space="preserve">dd) der Stichkanal Salzgitter von der Schleusengruppe Wedtlenstedt (SKS-km 4,56) bis zum Hafen Beddingen (SKS-km 13,50) gemäß § 15.25 Nummer 2 erst nach Freigabe durch die Schleusenaufsicht an der Schleusengruppe Wedtlenstedt befahren wird und</w:t>
      </w:r>
    </w:p>
    <w:p>
      <w:pPr>
        <w:ind w:left="1140"/>
      </w:pPr>
      <w:r>
        <w:t xml:space="preserve">ee) der Bug eines von ihm geführten einzeln fahrenden oder schleppenden Fahrzeugs mit Pontonform der Form nach § 15.26 Nummer 1 Satz 1 entspricht,</w:t>
      </w:r>
    </w:p>
    <w:p>
      <w:pPr>
        <w:ind w:left="780"/>
      </w:pPr>
      <w:r>
        <w:t xml:space="preserve">b) die Vorschriften über</w:t>
      </w:r>
    </w:p>
    <w:p>
      <w:pPr>
        <w:ind w:left="1140"/>
      </w:pPr>
      <w:r>
        <w:t xml:space="preserve">aa) die Zusammenstellung der Verbände nach § 15.03 Nummer 1 bis 5 Satz 1,</w:t>
      </w:r>
    </w:p>
    <w:p>
      <w:pPr>
        <w:ind w:left="1140"/>
      </w:pPr>
      <w:r>
        <w:t xml:space="preserve">bb) das Stillliegen nach § 15.10 Nummer 1, 4 und 5,</w:t>
      </w:r>
    </w:p>
    <w:p>
      <w:pPr>
        <w:ind w:left="1140"/>
      </w:pPr>
      <w:r>
        <w:t xml:space="preserve">cc) die Meldepflicht nach § 15.15 Nummer 1 Satz 1 bis 3, Nummer 2 Satz 2 bis 4 und Nummer 3 bis 5 und</w:t>
      </w:r>
    </w:p>
    <w:p>
      <w:pPr>
        <w:ind w:left="1140"/>
      </w:pPr>
      <w:r>
        <w:t xml:space="preserve">dd) das Führen eines Schubleichters nach § 15.26 Nummer 1 Satz 1</w:t>
      </w:r>
    </w:p>
    <w:p>
      <w:pPr>
        <w:ind w:left="780"/>
      </w:pPr>
      <w:r>
        <w:t xml:space="preserve">einzuhalten oder sicherzustellen, dass diese eingehalten werden,</w:t>
      </w:r>
    </w:p>
    <w:p>
      <w:pPr>
        <w:ind w:left="780"/>
      </w:pPr>
      <w:r>
        <w:t xml:space="preserve">c) das in § 15.20 Satz 1 vorgesehene Verbot, zu segeln, zu beachten oder sicherzustellen, dass dieses beachtet wird und</w:t>
      </w:r>
    </w:p>
    <w:p>
      <w:pPr>
        <w:ind w:left="780"/>
      </w:pPr>
      <w:r>
        <w:t xml:space="preserve">d) das in § 15.27 Satz 1 vorgesehene Verbot, die dort angegebenen Binnenschifffahrtsstraßen zu befahren, zu beachten oder sicherzustellen, dass dieses beachtet wird.</w:t>
      </w:r>
    </w:p>
    <w:p>
      <w:pPr>
        <w:ind w:left="420"/>
      </w:pPr>
      <w:r>
        <w:t xml:space="preserve">3. Der Eigentümer und der Ausrüster dürfen jeweils die Inbetriebnahme eines Fahrzeugs oder Verbandes nur anordnen oder zulassen, wenn</w:t>
      </w:r>
    </w:p>
    <w:p>
      <w:pPr>
        <w:ind w:left="780"/>
      </w:pPr>
      <w:r>
        <w:t xml:space="preserve">a) das Fahrzeug oder der Verband</w:t>
      </w:r>
    </w:p>
    <w:p>
      <w:pPr>
        <w:ind w:left="1140"/>
      </w:pPr>
      <w:r>
        <w:t xml:space="preserve">aa) die zugelassenen Höchstabmessungen und Abladetiefen nach § 15.02 Nummer 1.1.1 bis 1.5.2, 1.5.4 bis 1.5.6, 1.9, 1.10, 1.12.1, 1.12.2 bis 1.12.3.2, 1.12.4 bis 1.12.6.2.1, 1.13.1 bis 1.14.2.1 und 1.14.3.2 bis 1.14.4, jeweils auch in Verbindung mit Nummer 2 Satz 1, die zugelassenen Höchstabmessungen und Abladetiefen nach § 15.02 Nummer 1.5.3, 1.8.2 und 1.8.3, jeweils auch in Verbindung mit Nummer 2 Satz 2, die zugelassenen Höchstabmessungen nach § 15.02 Nummer 1.6, 1.11, 1.12.3.3, 1.12.3.4, 1.12.6.2.2, 1.12.6.3, 1.14.2.2, 1.14.3.1 und 1.14.5, jeweils auch in Verbindung mit Nummer 2 Satz 1, und die zugelassenen Höchstabmessungen nach § 15.02 Nummer 1.8.1, auch in Verbindung mit Nummer 2 Satz 2, und</w:t>
      </w:r>
    </w:p>
    <w:p>
      <w:pPr>
        <w:ind w:left="1140"/>
      </w:pPr>
      <w:r>
        <w:t xml:space="preserve">bb) die zugelassenen Abladetiefen nach § 15.02 Nummer 1.6, 1.8.1, 1.11, 1.12.3.3, 1.12.3.4, 1.12.6.2.2, 1.12.6.3, 1.14.2.2, 1.14.3.1 und 1.14.5</w:t>
      </w:r>
    </w:p>
    <w:p>
      <w:pPr>
        <w:ind w:left="780"/>
      </w:pPr>
      <w:r>
        <w:t xml:space="preserve">nicht überschreitet und</w:t>
      </w:r>
    </w:p>
    <w:p>
      <w:pPr>
        <w:ind w:left="780"/>
      </w:pPr>
      <w:r>
        <w:t xml:space="preserve">b) auf dem Fahrzeug oder Verband in dem in § 15.02 Nummer 1.1, 1.2, 1.3, 1.4, 1.5 und 1.8.3 jeweils genannten Fall die dort jeweils angegebene Ausrüstung vorhanden ist.</w:t>
      </w:r>
    </w:p>
    <w:p>
      <w:r>
        <w:rPr>
          <w:color w:val="555555"/>
          <w:sz w:val="17"/>
        </w:rPr>
        <w:t xml:space="preserve">Zitiervorschlag: § 15.29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15.29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