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Fahrzeug, ausgenommen ein Kleinfahrzeug, darf</w:t>
      </w:r>
    </w:p>
    <w:p>
      <w:pPr>
        <w:ind w:left="420"/>
      </w:pPr>
      <w:r>
        <w:t xml:space="preserve">1. den Stichkanal Osnabrück (SKO) von SKO-km 0,00 bis zur Schleuse Haste (SKO-km 12,69),</w:t>
      </w:r>
    </w:p>
    <w:p>
      <w:pPr>
        <w:ind w:left="420"/>
      </w:pPr>
      <w:r>
        <w:t xml:space="preserve">2. den Stichkanal Salzgitter (SKS) von der Schleusengruppe Wedtlenstedt (SKS-km 4,56) bis zum Hafen Beddingen (SKS-km 13,50)</w:t>
      </w:r>
    </w:p>
    <w:p>
      <w:r>
        <w:t xml:space="preserve">nur nach Freigabe durch die Schleusenaufsicht befahren.</w:t>
      </w:r>
    </w:p>
    <w:p>
      <w:r>
        <w:rPr>
          <w:color w:val="555555"/>
          <w:sz w:val="17"/>
        </w:rPr>
        <w:t xml:space="preserve">Zitiervorschlag: § 15.25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