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14.29 BinSchStrO 2012 — Verhaltenspflichten des Schiffsführers, der Besatzung an Bord, des Eigentümers und des Ausrüsters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21.10.2025 (konsolidierte Textfassung, kein amtliches Inkrafttretensdatum)</w:t>
      </w:r>
    </w:p>
    <w:p>
      <w:pPr>
        <w:ind w:left="420"/>
      </w:pPr>
      <w:r>
        <w:t xml:space="preserve">1. Der Schiffsführer und die nach § 1.03 Nummer 3 für Kurs und Geschwindigkeit verantwortliche Person haben jeweils</w:t>
      </w:r>
    </w:p>
    <w:p>
      <w:pPr>
        <w:ind w:left="780"/>
      </w:pPr>
      <w:r>
        <w:t xml:space="preserve">a) sicherzustellen, dass das Fahrzeug oder der Verband die zugelassene Höchstgeschwindigkeit nach § 14.04 nicht überschreitet, und</w:t>
      </w:r>
    </w:p>
    <w:p>
      <w:pPr>
        <w:ind w:left="780"/>
      </w:pPr>
      <w:r>
        <w:t xml:space="preserve">b) die Vorschrift über die Schifffahrt bei Hochwasser nach § 14.11 einzuhalten oder sicherzustellen, dass diese eingehalten wird.</w:t>
      </w:r>
    </w:p>
    <w:p>
      <w:pPr>
        <w:ind w:left="420"/>
      </w:pPr>
      <w:r>
        <w:t xml:space="preserve">2. Der Schiffsführer hat</w:t>
      </w:r>
    </w:p>
    <w:p>
      <w:pPr>
        <w:ind w:left="780"/>
      </w:pPr>
      <w:r>
        <w:t xml:space="preserve">a) sicherzustellen, dass das von ihm geführte Fahrzeug oder der von ihm geführte Verband die zugelassenen Höchstabmessungen nach § 14.02 Nummer 1 nicht überschreitet, und</w:t>
      </w:r>
    </w:p>
    <w:p>
      <w:pPr>
        <w:ind w:left="780"/>
      </w:pPr>
      <w:r>
        <w:t xml:space="preserve">b) die Vorschriften über</w:t>
      </w:r>
    </w:p>
    <w:p>
      <w:pPr>
        <w:ind w:left="1140"/>
      </w:pPr>
      <w:r>
        <w:t xml:space="preserve">aa) die Zusammenstellung der Verbände nach § 14.03 und</w:t>
      </w:r>
    </w:p>
    <w:p>
      <w:pPr>
        <w:ind w:left="1140"/>
      </w:pPr>
      <w:r>
        <w:t xml:space="preserve">bb) die Meldepflicht nach § 14.15 Nummer 1 Satz 1, 2, Nummer 2 Satz 2 bis 4 und Nummer 3 bis 5</w:t>
      </w:r>
    </w:p>
    <w:p>
      <w:pPr>
        <w:ind w:left="780"/>
      </w:pPr>
      <w:r>
        <w:t xml:space="preserve">einzuhalten oder sicherzustellen, dass diese eingehalten werden.</w:t>
      </w:r>
    </w:p>
    <w:p>
      <w:pPr>
        <w:ind w:left="420"/>
      </w:pPr>
      <w:r>
        <w:t xml:space="preserve">3. Der Eigentümer und der Ausrüster dürfen jeweils die Inbetriebnahme eines Fahrzeugs oder Verbandes nur anordnen oder zulassen, wenn das Fahrzeug oder der Verband die zugelassenen Höchstabmessungen nach § 14.02 Nummer 1 nicht überschreitet.</w:t>
      </w:r>
    </w:p>
    <w:p>
      <w:r>
        <w:rPr>
          <w:color w:val="555555"/>
          <w:sz w:val="17"/>
        </w:rPr>
        <w:t xml:space="preserve">Zitiervorschlag: § 14.29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https://recht.nulegal.eu/gesetze/BinSchStrO%202012/14.29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14.29 BinSchStrO 2012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